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0C3F" w14:textId="77777777" w:rsidR="00922FEB" w:rsidRPr="00AC21F0" w:rsidRDefault="00922FEB" w:rsidP="006A0740">
      <w:pPr>
        <w:pStyle w:val="BodyText"/>
        <w:spacing w:line="240" w:lineRule="atLeast"/>
        <w:jc w:val="center"/>
        <w:rPr>
          <w:rFonts w:ascii="Times New Roman" w:hAnsi="Times New Roman" w:cs="Times New Roman"/>
          <w:sz w:val="20"/>
          <w:szCs w:val="20"/>
          <w:lang w:val="en-US"/>
        </w:rPr>
      </w:pPr>
      <w:r w:rsidRPr="00AC21F0">
        <w:rPr>
          <w:rFonts w:ascii="Times New Roman" w:hAnsi="Times New Roman" w:cs="Times New Roman"/>
          <w:sz w:val="20"/>
          <w:szCs w:val="20"/>
          <w:lang w:val="en-US"/>
        </w:rPr>
        <w:t>TRANSPOSITION TABLE</w:t>
      </w:r>
    </w:p>
    <w:p w14:paraId="34DF4CE6" w14:textId="77777777" w:rsidR="00922FEB" w:rsidRPr="00AC21F0" w:rsidRDefault="00922FEB" w:rsidP="006A0740">
      <w:pPr>
        <w:spacing w:after="0" w:line="240" w:lineRule="atLeast"/>
        <w:rPr>
          <w:rFonts w:ascii="Times New Roman" w:eastAsia="Times New Roman" w:hAnsi="Times New Roman" w:cs="Times New Roman"/>
          <w:kern w:val="0"/>
          <w:sz w:val="20"/>
          <w:szCs w:val="20"/>
          <w14:ligatures w14:val="none"/>
        </w:rPr>
      </w:pPr>
    </w:p>
    <w:tbl>
      <w:tblPr>
        <w:tblStyle w:val="TableGrid"/>
        <w:tblW w:w="14754" w:type="dxa"/>
        <w:tblInd w:w="-318" w:type="dxa"/>
        <w:tblLayout w:type="fixed"/>
        <w:tblLook w:val="04A0" w:firstRow="1" w:lastRow="0" w:firstColumn="1" w:lastColumn="0" w:noHBand="0" w:noVBand="1"/>
      </w:tblPr>
      <w:tblGrid>
        <w:gridCol w:w="852"/>
        <w:gridCol w:w="5064"/>
        <w:gridCol w:w="606"/>
        <w:gridCol w:w="850"/>
        <w:gridCol w:w="1843"/>
        <w:gridCol w:w="709"/>
        <w:gridCol w:w="4830"/>
      </w:tblGrid>
      <w:tr w:rsidR="00260632" w:rsidRPr="00AC21F0" w14:paraId="61092F5B" w14:textId="77777777" w:rsidTr="003F6C69">
        <w:trPr>
          <w:tblHeader/>
        </w:trPr>
        <w:tc>
          <w:tcPr>
            <w:tcW w:w="5916" w:type="dxa"/>
            <w:gridSpan w:val="2"/>
          </w:tcPr>
          <w:p w14:paraId="18D7B866" w14:textId="77777777" w:rsidR="00AC21F0" w:rsidRPr="00AC21F0" w:rsidRDefault="00AC21F0" w:rsidP="00AC21F0">
            <w:pPr>
              <w:pBdr>
                <w:top w:val="nil"/>
                <w:left w:val="nil"/>
                <w:bottom w:val="nil"/>
                <w:right w:val="nil"/>
                <w:between w:val="nil"/>
              </w:pBdr>
              <w:spacing w:before="120" w:line="240" w:lineRule="atLeast"/>
              <w:jc w:val="both"/>
              <w:rPr>
                <w:rFonts w:ascii="Times New Roman" w:eastAsia="Times New Roman" w:hAnsi="Times New Roman" w:cs="Times New Roman"/>
                <w:sz w:val="20"/>
                <w:szCs w:val="20"/>
              </w:rPr>
            </w:pPr>
            <w:r w:rsidRPr="00AC21F0">
              <w:rPr>
                <w:rFonts w:ascii="Times New Roman" w:hAnsi="Times New Roman" w:cs="Times New Roman"/>
                <w:sz w:val="20"/>
                <w:szCs w:val="20"/>
              </w:rPr>
              <w:t>EU Legislation</w:t>
            </w:r>
          </w:p>
          <w:p w14:paraId="002346E6" w14:textId="1A5A64BF" w:rsidR="008C4514" w:rsidRPr="00AC21F0" w:rsidRDefault="008C4514" w:rsidP="006A0740">
            <w:pPr>
              <w:pStyle w:val="ListParagraph"/>
              <w:numPr>
                <w:ilvl w:val="0"/>
                <w:numId w:val="2"/>
              </w:numPr>
              <w:pBdr>
                <w:top w:val="nil"/>
                <w:left w:val="nil"/>
                <w:bottom w:val="nil"/>
                <w:right w:val="nil"/>
                <w:between w:val="nil"/>
              </w:pBdr>
              <w:spacing w:before="120" w:after="0" w:line="240" w:lineRule="atLeast"/>
              <w:jc w:val="both"/>
              <w:rPr>
                <w:rFonts w:ascii="Times New Roman" w:eastAsia="Times New Roman" w:hAnsi="Times New Roman" w:cs="Times New Roman"/>
                <w:sz w:val="20"/>
                <w:szCs w:val="20"/>
              </w:rPr>
            </w:pPr>
            <w:r w:rsidRPr="00AC21F0">
              <w:rPr>
                <w:rFonts w:ascii="Times New Roman" w:hAnsi="Times New Roman" w:cs="Times New Roman"/>
                <w:sz w:val="20"/>
                <w:szCs w:val="20"/>
              </w:rPr>
              <w:t xml:space="preserve">COUNCIL REGULATION (EU) No 904/2010 of 7 October 2010 on administrative cooperation and combating fraud in the field of value added tax (recast) </w:t>
            </w:r>
          </w:p>
          <w:p w14:paraId="64638E04" w14:textId="77777777" w:rsidR="008C4514" w:rsidRPr="00AC21F0" w:rsidRDefault="008C4514" w:rsidP="006A0740">
            <w:pPr>
              <w:pStyle w:val="ListParagraph"/>
              <w:numPr>
                <w:ilvl w:val="0"/>
                <w:numId w:val="2"/>
              </w:numPr>
              <w:pBdr>
                <w:top w:val="nil"/>
                <w:left w:val="nil"/>
                <w:bottom w:val="nil"/>
                <w:right w:val="nil"/>
                <w:between w:val="nil"/>
              </w:pBdr>
              <w:spacing w:before="120" w:after="0" w:line="240" w:lineRule="atLeast"/>
              <w:jc w:val="both"/>
              <w:rPr>
                <w:rFonts w:ascii="Times New Roman" w:eastAsia="Times New Roman" w:hAnsi="Times New Roman" w:cs="Times New Roman"/>
                <w:sz w:val="20"/>
                <w:szCs w:val="20"/>
              </w:rPr>
            </w:pPr>
            <w:r w:rsidRPr="00AC21F0">
              <w:rPr>
                <w:rFonts w:ascii="Times New Roman" w:hAnsi="Times New Roman" w:cs="Times New Roman"/>
                <w:color w:val="333333"/>
                <w:sz w:val="20"/>
                <w:szCs w:val="20"/>
                <w:shd w:val="clear" w:color="auto" w:fill="FFFFFF"/>
              </w:rPr>
              <w:t>Council Directive (EU) 2020/284 of 18 February 2020 amending Directive 2006/112/EC as regards introducing certain requirements for payment service providers</w:t>
            </w:r>
            <w:r w:rsidRPr="00AC21F0">
              <w:rPr>
                <w:rFonts w:ascii="Times New Roman" w:eastAsia="Times New Roman" w:hAnsi="Times New Roman" w:cs="Times New Roman"/>
                <w:sz w:val="20"/>
                <w:szCs w:val="20"/>
              </w:rPr>
              <w:t>.</w:t>
            </w:r>
          </w:p>
          <w:p w14:paraId="4FFDA4AB" w14:textId="32BB70D0" w:rsidR="004F7895" w:rsidRPr="00AC21F0" w:rsidRDefault="004F7895" w:rsidP="006A0740">
            <w:pPr>
              <w:pStyle w:val="ListParagraph"/>
              <w:pBdr>
                <w:top w:val="nil"/>
                <w:left w:val="nil"/>
                <w:bottom w:val="nil"/>
                <w:right w:val="nil"/>
                <w:between w:val="nil"/>
              </w:pBdr>
              <w:spacing w:before="120" w:after="0" w:line="240" w:lineRule="atLeast"/>
              <w:jc w:val="both"/>
              <w:rPr>
                <w:rFonts w:ascii="Times New Roman" w:eastAsia="Times New Roman" w:hAnsi="Times New Roman" w:cs="Times New Roman"/>
                <w:sz w:val="20"/>
                <w:szCs w:val="20"/>
              </w:rPr>
            </w:pPr>
          </w:p>
          <w:p w14:paraId="179F0EF3" w14:textId="42DBA1CB" w:rsidR="0067247A" w:rsidRPr="00AC21F0" w:rsidRDefault="0067247A" w:rsidP="006A0740">
            <w:pPr>
              <w:pStyle w:val="ListParagraph"/>
              <w:numPr>
                <w:ilvl w:val="0"/>
                <w:numId w:val="2"/>
              </w:numPr>
              <w:pBdr>
                <w:top w:val="nil"/>
                <w:left w:val="nil"/>
                <w:bottom w:val="nil"/>
                <w:right w:val="nil"/>
                <w:between w:val="nil"/>
              </w:pBdr>
              <w:spacing w:before="120" w:after="0"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Commission Implementing Regulation (EU) 2022/1504 of 6 April 2022 laying down detailed rules for the application of Council Regulation (EU) No 904/2010 as regards the creation of a central electronic system of payment information (CESOP) to combat VAT fraud</w:t>
            </w:r>
          </w:p>
          <w:p w14:paraId="7595DA82" w14:textId="74CA38A7" w:rsidR="009D0B38" w:rsidRPr="00AC21F0" w:rsidRDefault="009D0B38" w:rsidP="006A0740">
            <w:pPr>
              <w:spacing w:line="240" w:lineRule="atLeast"/>
              <w:jc w:val="both"/>
              <w:rPr>
                <w:rFonts w:ascii="Times New Roman" w:eastAsia="Calibri" w:hAnsi="Times New Roman" w:cs="Times New Roman"/>
                <w:sz w:val="20"/>
                <w:szCs w:val="20"/>
              </w:rPr>
            </w:pPr>
          </w:p>
        </w:tc>
        <w:tc>
          <w:tcPr>
            <w:tcW w:w="8838" w:type="dxa"/>
            <w:gridSpan w:val="5"/>
            <w:vAlign w:val="center"/>
          </w:tcPr>
          <w:p w14:paraId="10ECADF5" w14:textId="77777777" w:rsidR="00922FEB" w:rsidRPr="00AC21F0" w:rsidRDefault="00922FEB" w:rsidP="006A0740">
            <w:pPr>
              <w:spacing w:line="240" w:lineRule="atLeast"/>
              <w:jc w:val="both"/>
              <w:rPr>
                <w:rFonts w:ascii="Times New Roman" w:eastAsia="Calibri" w:hAnsi="Times New Roman" w:cs="Times New Roman"/>
                <w:sz w:val="20"/>
                <w:szCs w:val="20"/>
                <w:lang w:val="en-US"/>
              </w:rPr>
            </w:pPr>
            <w:r w:rsidRPr="00AC21F0">
              <w:rPr>
                <w:rFonts w:ascii="Times New Roman" w:eastAsia="Calibri" w:hAnsi="Times New Roman" w:cs="Times New Roman"/>
                <w:sz w:val="20"/>
                <w:szCs w:val="20"/>
                <w:lang w:val="en-US"/>
              </w:rPr>
              <w:t>Albanian legislation:</w:t>
            </w:r>
          </w:p>
          <w:p w14:paraId="6FF890AD" w14:textId="2AF84196" w:rsidR="004F7895" w:rsidRPr="00AC21F0" w:rsidRDefault="0077636B" w:rsidP="00AC21F0">
            <w:pPr>
              <w:pStyle w:val="ListParagraph"/>
              <w:numPr>
                <w:ilvl w:val="0"/>
                <w:numId w:val="49"/>
              </w:numPr>
              <w:spacing w:after="0" w:line="240" w:lineRule="atLeast"/>
              <w:jc w:val="both"/>
              <w:rPr>
                <w:rFonts w:ascii="Times New Roman" w:eastAsia="Calibri" w:hAnsi="Times New Roman" w:cs="Times New Roman"/>
                <w:sz w:val="20"/>
                <w:szCs w:val="20"/>
              </w:rPr>
            </w:pPr>
            <w:r w:rsidRPr="00AC21F0">
              <w:rPr>
                <w:rFonts w:ascii="Times New Roman" w:eastAsia="Times New Roman" w:hAnsi="Times New Roman" w:cs="Times New Roman"/>
                <w:sz w:val="20"/>
                <w:szCs w:val="20"/>
              </w:rPr>
              <w:t>Draft law no._____, dated __.__.202</w:t>
            </w:r>
            <w:r w:rsidR="008C4514" w:rsidRPr="00AC21F0">
              <w:rPr>
                <w:rFonts w:ascii="Times New Roman" w:eastAsia="Times New Roman" w:hAnsi="Times New Roman" w:cs="Times New Roman"/>
                <w:sz w:val="20"/>
                <w:szCs w:val="20"/>
              </w:rPr>
              <w:t>6</w:t>
            </w:r>
            <w:r w:rsidR="00EC3375" w:rsidRPr="00AC21F0">
              <w:rPr>
                <w:rFonts w:ascii="Times New Roman" w:eastAsia="Times New Roman" w:hAnsi="Times New Roman" w:cs="Times New Roman"/>
                <w:sz w:val="20"/>
                <w:szCs w:val="20"/>
              </w:rPr>
              <w:t xml:space="preserve"> ”O</w:t>
            </w:r>
            <w:r w:rsidRPr="00AC21F0">
              <w:rPr>
                <w:rFonts w:ascii="Times New Roman" w:eastAsia="Times New Roman" w:hAnsi="Times New Roman" w:cs="Times New Roman"/>
                <w:sz w:val="20"/>
                <w:szCs w:val="20"/>
              </w:rPr>
              <w:t xml:space="preserve">n the </w:t>
            </w:r>
            <w:r w:rsidR="008C4514" w:rsidRPr="00AC21F0">
              <w:rPr>
                <w:rFonts w:ascii="Times New Roman" w:hAnsi="Times New Roman" w:cs="Times New Roman"/>
                <w:sz w:val="20"/>
                <w:szCs w:val="20"/>
              </w:rPr>
              <w:t>Reporting of cross-border payments and the creation and operation of the electronic information system for these payments.</w:t>
            </w:r>
            <w:r w:rsidR="00EC3375" w:rsidRPr="00AC21F0">
              <w:rPr>
                <w:rFonts w:ascii="Times New Roman" w:hAnsi="Times New Roman" w:cs="Times New Roman"/>
                <w:sz w:val="20"/>
                <w:szCs w:val="20"/>
              </w:rPr>
              <w:t>”</w:t>
            </w:r>
          </w:p>
          <w:p w14:paraId="0D3719FB" w14:textId="77777777" w:rsidR="00AC21F0" w:rsidRDefault="00AC21F0" w:rsidP="006A0740">
            <w:pPr>
              <w:spacing w:line="240" w:lineRule="atLeast"/>
              <w:jc w:val="both"/>
              <w:rPr>
                <w:rFonts w:ascii="Times New Roman" w:hAnsi="Times New Roman" w:cs="Times New Roman"/>
                <w:sz w:val="20"/>
                <w:szCs w:val="20"/>
                <w:lang w:val="en-US"/>
              </w:rPr>
            </w:pPr>
          </w:p>
          <w:p w14:paraId="3102C9DB" w14:textId="5FF3209D" w:rsidR="001D652C" w:rsidRPr="00AC21F0" w:rsidRDefault="001D652C" w:rsidP="006A0740">
            <w:pPr>
              <w:spacing w:line="240" w:lineRule="atLeast"/>
              <w:jc w:val="both"/>
              <w:rPr>
                <w:rFonts w:ascii="Times New Roman" w:hAnsi="Times New Roman" w:cs="Times New Roman"/>
                <w:sz w:val="20"/>
                <w:szCs w:val="20"/>
                <w:lang w:val="en-US"/>
              </w:rPr>
            </w:pPr>
            <w:r w:rsidRPr="00AC21F0">
              <w:rPr>
                <w:rFonts w:ascii="Times New Roman" w:hAnsi="Times New Roman" w:cs="Times New Roman"/>
                <w:sz w:val="20"/>
                <w:szCs w:val="20"/>
                <w:lang w:val="en-US"/>
              </w:rPr>
              <w:t>The overall degree of approximation with the national legislation:</w:t>
            </w:r>
          </w:p>
          <w:p w14:paraId="0031760A" w14:textId="77777777" w:rsidR="00AC21F0" w:rsidRDefault="00AC21F0" w:rsidP="00AC21F0">
            <w:pPr>
              <w:spacing w:line="240" w:lineRule="atLeast"/>
              <w:jc w:val="both"/>
              <w:rPr>
                <w:rFonts w:ascii="Times New Roman" w:hAnsi="Times New Roman" w:cs="Times New Roman"/>
                <w:sz w:val="20"/>
                <w:szCs w:val="20"/>
              </w:rPr>
            </w:pPr>
          </w:p>
          <w:p w14:paraId="5306AA67" w14:textId="2F663CA6" w:rsidR="001D652C" w:rsidRPr="00AC21F0" w:rsidRDefault="001D652C" w:rsidP="00AC21F0">
            <w:pPr>
              <w:spacing w:line="240" w:lineRule="atLeast"/>
              <w:jc w:val="both"/>
              <w:rPr>
                <w:rFonts w:ascii="Times New Roman" w:hAnsi="Times New Roman" w:cs="Times New Roman"/>
                <w:sz w:val="20"/>
                <w:szCs w:val="20"/>
              </w:rPr>
            </w:pPr>
            <w:r w:rsidRPr="00AC21F0">
              <w:rPr>
                <w:rFonts w:ascii="Times New Roman" w:hAnsi="Times New Roman" w:cs="Times New Roman"/>
                <w:sz w:val="20"/>
                <w:szCs w:val="20"/>
              </w:rPr>
              <w:t>F - full compliance</w:t>
            </w:r>
          </w:p>
          <w:p w14:paraId="41C41513" w14:textId="77777777" w:rsidR="001D652C" w:rsidRPr="00AC21F0" w:rsidRDefault="001D652C" w:rsidP="006A0740">
            <w:pPr>
              <w:spacing w:line="240" w:lineRule="atLeast"/>
              <w:jc w:val="both"/>
              <w:rPr>
                <w:rFonts w:ascii="Times New Roman" w:hAnsi="Times New Roman" w:cs="Times New Roman"/>
                <w:sz w:val="20"/>
                <w:szCs w:val="20"/>
              </w:rPr>
            </w:pPr>
            <w:r w:rsidRPr="00AC21F0">
              <w:rPr>
                <w:rFonts w:ascii="Times New Roman" w:hAnsi="Times New Roman" w:cs="Times New Roman"/>
                <w:sz w:val="20"/>
                <w:szCs w:val="20"/>
              </w:rPr>
              <w:t>P - partial compliance</w:t>
            </w:r>
          </w:p>
          <w:p w14:paraId="289EB650" w14:textId="14CE508D" w:rsidR="00922FEB" w:rsidRPr="00AC21F0" w:rsidRDefault="001D652C" w:rsidP="006A0740">
            <w:pPr>
              <w:spacing w:line="240" w:lineRule="atLeast"/>
              <w:jc w:val="both"/>
              <w:rPr>
                <w:rFonts w:ascii="Times New Roman" w:eastAsia="Calibri" w:hAnsi="Times New Roman" w:cs="Times New Roman"/>
                <w:sz w:val="20"/>
                <w:szCs w:val="20"/>
              </w:rPr>
            </w:pPr>
            <w:r w:rsidRPr="00AC21F0">
              <w:rPr>
                <w:rFonts w:ascii="Times New Roman" w:hAnsi="Times New Roman" w:cs="Times New Roman"/>
                <w:sz w:val="20"/>
                <w:szCs w:val="20"/>
              </w:rPr>
              <w:t>N - non compliance</w:t>
            </w:r>
          </w:p>
          <w:p w14:paraId="6BC4DEF2" w14:textId="77777777" w:rsidR="00922FEB" w:rsidRPr="00AC21F0" w:rsidRDefault="00922FEB" w:rsidP="006A0740">
            <w:pPr>
              <w:spacing w:line="240" w:lineRule="atLeast"/>
              <w:rPr>
                <w:rFonts w:ascii="Times New Roman" w:eastAsia="Calibri" w:hAnsi="Times New Roman" w:cs="Times New Roman"/>
                <w:sz w:val="20"/>
                <w:szCs w:val="20"/>
              </w:rPr>
            </w:pPr>
          </w:p>
          <w:p w14:paraId="7AA9D97B" w14:textId="77777777" w:rsidR="00922FEB" w:rsidRPr="00AC21F0" w:rsidRDefault="00922FEB" w:rsidP="006A0740">
            <w:pPr>
              <w:spacing w:line="240" w:lineRule="atLeast"/>
              <w:rPr>
                <w:rFonts w:ascii="Times New Roman" w:eastAsia="Calibri" w:hAnsi="Times New Roman" w:cs="Times New Roman"/>
                <w:sz w:val="20"/>
                <w:szCs w:val="20"/>
              </w:rPr>
            </w:pPr>
            <w:r w:rsidRPr="00AC21F0">
              <w:rPr>
                <w:rFonts w:ascii="Times New Roman" w:eastAsia="Calibri" w:hAnsi="Times New Roman" w:cs="Times New Roman"/>
                <w:sz w:val="20"/>
                <w:szCs w:val="20"/>
              </w:rPr>
              <w:t xml:space="preserve"> </w:t>
            </w:r>
          </w:p>
        </w:tc>
      </w:tr>
      <w:tr w:rsidR="00260632" w:rsidRPr="00AC21F0" w14:paraId="01827783" w14:textId="77777777" w:rsidTr="0042577F">
        <w:trPr>
          <w:tblHeader/>
        </w:trPr>
        <w:tc>
          <w:tcPr>
            <w:tcW w:w="852" w:type="dxa"/>
            <w:shd w:val="clear" w:color="auto" w:fill="BFBFBF"/>
          </w:tcPr>
          <w:p w14:paraId="52A84D2B" w14:textId="721D3075" w:rsidR="004F619A" w:rsidRPr="00AC21F0" w:rsidRDefault="004F619A" w:rsidP="006A0740">
            <w:pPr>
              <w:spacing w:line="240" w:lineRule="atLeast"/>
              <w:jc w:val="center"/>
              <w:rPr>
                <w:rFonts w:ascii="Times New Roman" w:eastAsia="Times New Roman" w:hAnsi="Times New Roman" w:cs="Times New Roman"/>
                <w:sz w:val="20"/>
                <w:szCs w:val="20"/>
              </w:rPr>
            </w:pPr>
            <w:r w:rsidRPr="00AC21F0">
              <w:rPr>
                <w:rFonts w:ascii="Times New Roman" w:hAnsi="Times New Roman" w:cs="Times New Roman"/>
                <w:sz w:val="20"/>
                <w:szCs w:val="20"/>
              </w:rPr>
              <w:t>1</w:t>
            </w:r>
          </w:p>
        </w:tc>
        <w:tc>
          <w:tcPr>
            <w:tcW w:w="5064" w:type="dxa"/>
            <w:shd w:val="clear" w:color="auto" w:fill="BFBFBF"/>
          </w:tcPr>
          <w:p w14:paraId="1DA553D3" w14:textId="64D8F57B" w:rsidR="004F619A" w:rsidRPr="00AC21F0" w:rsidRDefault="004F619A" w:rsidP="006A0740">
            <w:pPr>
              <w:spacing w:line="240" w:lineRule="atLeast"/>
              <w:jc w:val="center"/>
              <w:rPr>
                <w:rFonts w:ascii="Times New Roman" w:eastAsia="Times New Roman" w:hAnsi="Times New Roman" w:cs="Times New Roman"/>
                <w:i/>
                <w:sz w:val="20"/>
                <w:szCs w:val="20"/>
              </w:rPr>
            </w:pPr>
            <w:r w:rsidRPr="00AC21F0">
              <w:rPr>
                <w:rFonts w:ascii="Times New Roman" w:hAnsi="Times New Roman" w:cs="Times New Roman"/>
                <w:sz w:val="20"/>
                <w:szCs w:val="20"/>
              </w:rPr>
              <w:t>2</w:t>
            </w:r>
          </w:p>
        </w:tc>
        <w:tc>
          <w:tcPr>
            <w:tcW w:w="606" w:type="dxa"/>
            <w:shd w:val="clear" w:color="auto" w:fill="BFBFBF"/>
          </w:tcPr>
          <w:p w14:paraId="6A8D7A06" w14:textId="724E6EFC" w:rsidR="004F619A" w:rsidRPr="00AC21F0" w:rsidRDefault="004F619A" w:rsidP="006A0740">
            <w:pPr>
              <w:spacing w:line="240" w:lineRule="atLeast"/>
              <w:jc w:val="center"/>
              <w:rPr>
                <w:rFonts w:ascii="Times New Roman" w:eastAsia="Times New Roman" w:hAnsi="Times New Roman" w:cs="Times New Roman"/>
                <w:i/>
                <w:sz w:val="20"/>
                <w:szCs w:val="20"/>
              </w:rPr>
            </w:pPr>
            <w:r w:rsidRPr="00AC21F0">
              <w:rPr>
                <w:rFonts w:ascii="Times New Roman" w:hAnsi="Times New Roman" w:cs="Times New Roman"/>
                <w:sz w:val="20"/>
                <w:szCs w:val="20"/>
              </w:rPr>
              <w:t>3</w:t>
            </w:r>
          </w:p>
        </w:tc>
        <w:tc>
          <w:tcPr>
            <w:tcW w:w="850" w:type="dxa"/>
            <w:shd w:val="clear" w:color="auto" w:fill="BFBFBF"/>
          </w:tcPr>
          <w:p w14:paraId="508F371C" w14:textId="4604AAB0" w:rsidR="004F619A" w:rsidRPr="00AC21F0" w:rsidRDefault="004F619A" w:rsidP="006A0740">
            <w:pPr>
              <w:spacing w:line="240" w:lineRule="atLeast"/>
              <w:jc w:val="center"/>
              <w:rPr>
                <w:rFonts w:ascii="Times New Roman" w:eastAsia="Times New Roman" w:hAnsi="Times New Roman" w:cs="Times New Roman"/>
                <w:i/>
                <w:sz w:val="20"/>
                <w:szCs w:val="20"/>
              </w:rPr>
            </w:pPr>
            <w:r w:rsidRPr="00AC21F0">
              <w:rPr>
                <w:rFonts w:ascii="Times New Roman" w:hAnsi="Times New Roman" w:cs="Times New Roman"/>
                <w:sz w:val="20"/>
                <w:szCs w:val="20"/>
              </w:rPr>
              <w:t>4</w:t>
            </w:r>
          </w:p>
        </w:tc>
        <w:tc>
          <w:tcPr>
            <w:tcW w:w="1843" w:type="dxa"/>
            <w:shd w:val="clear" w:color="auto" w:fill="BFBFBF"/>
          </w:tcPr>
          <w:p w14:paraId="2141FB79" w14:textId="3C150691" w:rsidR="004F619A" w:rsidRPr="00AC21F0" w:rsidRDefault="004F619A" w:rsidP="006A0740">
            <w:pPr>
              <w:spacing w:line="240" w:lineRule="atLeast"/>
              <w:jc w:val="center"/>
              <w:rPr>
                <w:rFonts w:ascii="Times New Roman" w:eastAsia="Times New Roman" w:hAnsi="Times New Roman" w:cs="Times New Roman"/>
                <w:i/>
                <w:sz w:val="20"/>
                <w:szCs w:val="20"/>
              </w:rPr>
            </w:pPr>
            <w:r w:rsidRPr="00AC21F0">
              <w:rPr>
                <w:rFonts w:ascii="Times New Roman" w:hAnsi="Times New Roman" w:cs="Times New Roman"/>
                <w:sz w:val="20"/>
                <w:szCs w:val="20"/>
              </w:rPr>
              <w:t>5</w:t>
            </w:r>
          </w:p>
        </w:tc>
        <w:tc>
          <w:tcPr>
            <w:tcW w:w="709" w:type="dxa"/>
            <w:shd w:val="clear" w:color="auto" w:fill="BFBFBF"/>
          </w:tcPr>
          <w:p w14:paraId="7B5923AD" w14:textId="0DA9C058" w:rsidR="004F619A" w:rsidRPr="00AC21F0" w:rsidRDefault="004F619A" w:rsidP="006A0740">
            <w:pPr>
              <w:spacing w:line="240" w:lineRule="atLeast"/>
              <w:jc w:val="center"/>
              <w:rPr>
                <w:rFonts w:ascii="Times New Roman" w:eastAsia="Times New Roman" w:hAnsi="Times New Roman" w:cs="Times New Roman"/>
                <w:i/>
                <w:sz w:val="20"/>
                <w:szCs w:val="20"/>
              </w:rPr>
            </w:pPr>
            <w:r w:rsidRPr="00AC21F0">
              <w:rPr>
                <w:rFonts w:ascii="Times New Roman" w:hAnsi="Times New Roman" w:cs="Times New Roman"/>
                <w:sz w:val="20"/>
                <w:szCs w:val="20"/>
              </w:rPr>
              <w:t>6</w:t>
            </w:r>
          </w:p>
        </w:tc>
        <w:tc>
          <w:tcPr>
            <w:tcW w:w="4830" w:type="dxa"/>
            <w:shd w:val="clear" w:color="auto" w:fill="BFBFBF"/>
          </w:tcPr>
          <w:p w14:paraId="25BA9212" w14:textId="4444B760" w:rsidR="004F619A" w:rsidRPr="00AC21F0" w:rsidRDefault="004F619A" w:rsidP="006A0740">
            <w:pPr>
              <w:spacing w:line="240" w:lineRule="atLeast"/>
              <w:jc w:val="center"/>
              <w:rPr>
                <w:rFonts w:ascii="Times New Roman" w:eastAsia="Times New Roman" w:hAnsi="Times New Roman" w:cs="Times New Roman"/>
                <w:i/>
                <w:sz w:val="20"/>
                <w:szCs w:val="20"/>
              </w:rPr>
            </w:pPr>
            <w:r w:rsidRPr="00AC21F0">
              <w:rPr>
                <w:rFonts w:ascii="Times New Roman" w:hAnsi="Times New Roman" w:cs="Times New Roman"/>
                <w:sz w:val="20"/>
                <w:szCs w:val="20"/>
              </w:rPr>
              <w:t>7</w:t>
            </w:r>
          </w:p>
        </w:tc>
      </w:tr>
      <w:tr w:rsidR="00260632" w:rsidRPr="00AC21F0" w14:paraId="405531F1" w14:textId="77777777" w:rsidTr="00922FEB">
        <w:trPr>
          <w:tblHeader/>
        </w:trPr>
        <w:tc>
          <w:tcPr>
            <w:tcW w:w="852" w:type="dxa"/>
            <w:shd w:val="clear" w:color="auto" w:fill="BFBFBF"/>
            <w:vAlign w:val="center"/>
          </w:tcPr>
          <w:p w14:paraId="1E9FDE14" w14:textId="77777777" w:rsidR="004F619A" w:rsidRPr="00AC21F0" w:rsidRDefault="004F619A" w:rsidP="006A0740">
            <w:pPr>
              <w:spacing w:line="240" w:lineRule="atLeast"/>
              <w:jc w:val="center"/>
              <w:rPr>
                <w:rFonts w:ascii="Times New Roman" w:eastAsia="Times New Roman" w:hAnsi="Times New Roman" w:cs="Times New Roman"/>
                <w:sz w:val="20"/>
                <w:szCs w:val="20"/>
                <w:lang w:val="en-US"/>
              </w:rPr>
            </w:pPr>
            <w:r w:rsidRPr="00AC21F0">
              <w:rPr>
                <w:rFonts w:ascii="Times New Roman" w:eastAsia="Times New Roman" w:hAnsi="Times New Roman" w:cs="Times New Roman"/>
                <w:sz w:val="20"/>
                <w:szCs w:val="20"/>
                <w:lang w:val="en-US"/>
              </w:rPr>
              <w:t xml:space="preserve">Article </w:t>
            </w:r>
          </w:p>
        </w:tc>
        <w:tc>
          <w:tcPr>
            <w:tcW w:w="5064" w:type="dxa"/>
            <w:shd w:val="clear" w:color="auto" w:fill="BFBFBF"/>
            <w:vAlign w:val="center"/>
          </w:tcPr>
          <w:p w14:paraId="76176853" w14:textId="77777777" w:rsidR="004F619A" w:rsidRPr="00AC21F0" w:rsidRDefault="004F619A" w:rsidP="006A0740">
            <w:pPr>
              <w:spacing w:line="240" w:lineRule="atLeast"/>
              <w:jc w:val="center"/>
              <w:rPr>
                <w:rFonts w:ascii="Times New Roman" w:eastAsia="Times New Roman" w:hAnsi="Times New Roman" w:cs="Times New Roman"/>
                <w:i/>
                <w:sz w:val="20"/>
                <w:szCs w:val="20"/>
                <w:lang w:val="en-US"/>
              </w:rPr>
            </w:pPr>
            <w:r w:rsidRPr="00AC21F0">
              <w:rPr>
                <w:rFonts w:ascii="Times New Roman" w:eastAsia="Times New Roman" w:hAnsi="Times New Roman" w:cs="Times New Roman"/>
                <w:i/>
                <w:sz w:val="20"/>
                <w:szCs w:val="20"/>
                <w:lang w:val="en-US"/>
              </w:rPr>
              <w:t>Text</w:t>
            </w:r>
          </w:p>
        </w:tc>
        <w:tc>
          <w:tcPr>
            <w:tcW w:w="606" w:type="dxa"/>
            <w:shd w:val="clear" w:color="auto" w:fill="BFBFBF"/>
            <w:vAlign w:val="center"/>
          </w:tcPr>
          <w:p w14:paraId="7B0A27CB" w14:textId="77777777" w:rsidR="004F619A" w:rsidRPr="00AC21F0" w:rsidRDefault="004F619A" w:rsidP="006A0740">
            <w:pPr>
              <w:spacing w:line="240" w:lineRule="atLeast"/>
              <w:jc w:val="center"/>
              <w:rPr>
                <w:rFonts w:ascii="Times New Roman" w:eastAsia="Times New Roman" w:hAnsi="Times New Roman" w:cs="Times New Roman"/>
                <w:i/>
                <w:sz w:val="20"/>
                <w:szCs w:val="20"/>
                <w:lang w:val="en-US"/>
              </w:rPr>
            </w:pPr>
            <w:r w:rsidRPr="00AC21F0">
              <w:rPr>
                <w:rFonts w:ascii="Times New Roman" w:eastAsia="Times New Roman" w:hAnsi="Times New Roman" w:cs="Times New Roman"/>
                <w:i/>
                <w:sz w:val="20"/>
                <w:szCs w:val="20"/>
                <w:lang w:val="en-US"/>
              </w:rPr>
              <w:t>Reference</w:t>
            </w:r>
          </w:p>
        </w:tc>
        <w:tc>
          <w:tcPr>
            <w:tcW w:w="850" w:type="dxa"/>
            <w:shd w:val="clear" w:color="auto" w:fill="BFBFBF"/>
            <w:vAlign w:val="center"/>
          </w:tcPr>
          <w:p w14:paraId="4FA58976" w14:textId="77777777" w:rsidR="004F619A" w:rsidRPr="00AC21F0" w:rsidRDefault="004F619A" w:rsidP="006A0740">
            <w:pPr>
              <w:spacing w:line="240" w:lineRule="atLeast"/>
              <w:jc w:val="center"/>
              <w:rPr>
                <w:rFonts w:ascii="Times New Roman" w:eastAsia="Times New Roman" w:hAnsi="Times New Roman" w:cs="Times New Roman"/>
                <w:i/>
                <w:sz w:val="20"/>
                <w:szCs w:val="20"/>
                <w:lang w:val="en-US"/>
              </w:rPr>
            </w:pPr>
            <w:r w:rsidRPr="00AC21F0">
              <w:rPr>
                <w:rFonts w:ascii="Times New Roman" w:eastAsia="Times New Roman" w:hAnsi="Times New Roman" w:cs="Times New Roman"/>
                <w:i/>
                <w:sz w:val="20"/>
                <w:szCs w:val="20"/>
                <w:lang w:val="en-US"/>
              </w:rPr>
              <w:t>Article</w:t>
            </w:r>
          </w:p>
        </w:tc>
        <w:tc>
          <w:tcPr>
            <w:tcW w:w="1843" w:type="dxa"/>
            <w:shd w:val="clear" w:color="auto" w:fill="BFBFBF"/>
            <w:vAlign w:val="center"/>
          </w:tcPr>
          <w:p w14:paraId="1C97514E" w14:textId="77777777" w:rsidR="004F619A" w:rsidRPr="00AC21F0" w:rsidRDefault="004F619A" w:rsidP="006A0740">
            <w:pPr>
              <w:spacing w:line="240" w:lineRule="atLeast"/>
              <w:jc w:val="center"/>
              <w:rPr>
                <w:rFonts w:ascii="Times New Roman" w:eastAsia="Times New Roman" w:hAnsi="Times New Roman" w:cs="Times New Roman"/>
                <w:i/>
                <w:sz w:val="20"/>
                <w:szCs w:val="20"/>
                <w:lang w:val="en-US"/>
              </w:rPr>
            </w:pPr>
            <w:r w:rsidRPr="00AC21F0">
              <w:rPr>
                <w:rFonts w:ascii="Times New Roman" w:eastAsia="Times New Roman" w:hAnsi="Times New Roman" w:cs="Times New Roman"/>
                <w:i/>
                <w:sz w:val="20"/>
                <w:szCs w:val="20"/>
                <w:lang w:val="en-US"/>
              </w:rPr>
              <w:t>Text</w:t>
            </w:r>
          </w:p>
        </w:tc>
        <w:tc>
          <w:tcPr>
            <w:tcW w:w="709" w:type="dxa"/>
            <w:shd w:val="clear" w:color="auto" w:fill="BFBFBF"/>
            <w:vAlign w:val="center"/>
          </w:tcPr>
          <w:p w14:paraId="7416E437" w14:textId="77777777" w:rsidR="004F619A" w:rsidRPr="00AC21F0" w:rsidRDefault="004F619A" w:rsidP="006A0740">
            <w:pPr>
              <w:spacing w:line="240" w:lineRule="atLeast"/>
              <w:jc w:val="center"/>
              <w:rPr>
                <w:rFonts w:ascii="Times New Roman" w:eastAsia="Times New Roman" w:hAnsi="Times New Roman" w:cs="Times New Roman"/>
                <w:i/>
                <w:sz w:val="20"/>
                <w:szCs w:val="20"/>
                <w:lang w:val="en-US"/>
              </w:rPr>
            </w:pPr>
            <w:r w:rsidRPr="00AC21F0">
              <w:rPr>
                <w:rFonts w:ascii="Times New Roman" w:eastAsia="Times New Roman" w:hAnsi="Times New Roman" w:cs="Times New Roman"/>
                <w:i/>
                <w:sz w:val="20"/>
                <w:szCs w:val="20"/>
                <w:lang w:val="en-US"/>
              </w:rPr>
              <w:t>Compliance</w:t>
            </w:r>
          </w:p>
        </w:tc>
        <w:tc>
          <w:tcPr>
            <w:tcW w:w="4830" w:type="dxa"/>
            <w:shd w:val="clear" w:color="auto" w:fill="BFBFBF"/>
            <w:vAlign w:val="center"/>
          </w:tcPr>
          <w:p w14:paraId="2D3E0BBE" w14:textId="77777777" w:rsidR="004F619A" w:rsidRPr="00AC21F0" w:rsidRDefault="004F619A" w:rsidP="006A0740">
            <w:pPr>
              <w:spacing w:line="240" w:lineRule="atLeast"/>
              <w:jc w:val="center"/>
              <w:rPr>
                <w:rFonts w:ascii="Times New Roman" w:eastAsia="Times New Roman" w:hAnsi="Times New Roman" w:cs="Times New Roman"/>
                <w:i/>
                <w:sz w:val="20"/>
                <w:szCs w:val="20"/>
                <w:lang w:val="en-US"/>
              </w:rPr>
            </w:pPr>
            <w:r w:rsidRPr="00AC21F0">
              <w:rPr>
                <w:rFonts w:ascii="Times New Roman" w:eastAsia="Times New Roman" w:hAnsi="Times New Roman" w:cs="Times New Roman"/>
                <w:i/>
                <w:sz w:val="20"/>
                <w:szCs w:val="20"/>
                <w:lang w:val="en-US"/>
              </w:rPr>
              <w:t>Notes</w:t>
            </w:r>
          </w:p>
        </w:tc>
      </w:tr>
    </w:tbl>
    <w:p w14:paraId="1F69D40D" w14:textId="3855042B" w:rsidR="00922FEB" w:rsidRPr="00AC21F0" w:rsidRDefault="00922FEB" w:rsidP="006A0740">
      <w:pPr>
        <w:spacing w:after="200" w:line="240" w:lineRule="atLeast"/>
        <w:rPr>
          <w:rFonts w:ascii="Times New Roman" w:eastAsia="Calibri" w:hAnsi="Times New Roman" w:cs="Times New Roman"/>
          <w:kern w:val="0"/>
          <w:sz w:val="20"/>
          <w:szCs w:val="20"/>
          <w14:ligatures w14:val="none"/>
        </w:rPr>
      </w:pPr>
    </w:p>
    <w:tbl>
      <w:tblPr>
        <w:tblStyle w:val="TableGrid"/>
        <w:tblW w:w="16304" w:type="dxa"/>
        <w:tblInd w:w="-1085" w:type="dxa"/>
        <w:tblLayout w:type="fixed"/>
        <w:tblLook w:val="04A0" w:firstRow="1" w:lastRow="0" w:firstColumn="1" w:lastColumn="0" w:noHBand="0" w:noVBand="1"/>
      </w:tblPr>
      <w:tblGrid>
        <w:gridCol w:w="540"/>
        <w:gridCol w:w="5400"/>
        <w:gridCol w:w="450"/>
        <w:gridCol w:w="644"/>
        <w:gridCol w:w="5040"/>
        <w:gridCol w:w="720"/>
        <w:gridCol w:w="3510"/>
      </w:tblGrid>
      <w:tr w:rsidR="00260632" w:rsidRPr="00AC21F0" w14:paraId="32F4D837" w14:textId="77777777" w:rsidTr="004738EE">
        <w:trPr>
          <w:tblHeader/>
        </w:trPr>
        <w:tc>
          <w:tcPr>
            <w:tcW w:w="540" w:type="dxa"/>
            <w:shd w:val="clear" w:color="auto" w:fill="BFBFBF"/>
          </w:tcPr>
          <w:p w14:paraId="623B109C" w14:textId="4AA779B1" w:rsidR="000A7EA3" w:rsidRPr="00AC21F0" w:rsidRDefault="000A7EA3" w:rsidP="006A0740">
            <w:pPr>
              <w:spacing w:line="240" w:lineRule="atLeast"/>
              <w:jc w:val="center"/>
              <w:rPr>
                <w:rFonts w:ascii="Times New Roman" w:eastAsia="Times New Roman" w:hAnsi="Times New Roman" w:cs="Times New Roman"/>
                <w:sz w:val="20"/>
                <w:szCs w:val="20"/>
              </w:rPr>
            </w:pPr>
            <w:r w:rsidRPr="00AC21F0">
              <w:rPr>
                <w:rFonts w:ascii="Times New Roman" w:hAnsi="Times New Roman" w:cs="Times New Roman"/>
                <w:sz w:val="20"/>
                <w:szCs w:val="20"/>
              </w:rPr>
              <w:t>1</w:t>
            </w:r>
          </w:p>
        </w:tc>
        <w:tc>
          <w:tcPr>
            <w:tcW w:w="5400" w:type="dxa"/>
            <w:shd w:val="clear" w:color="auto" w:fill="BFBFBF"/>
          </w:tcPr>
          <w:p w14:paraId="0EF916BA" w14:textId="15F44D6D" w:rsidR="000A7EA3" w:rsidRPr="00AC21F0" w:rsidRDefault="000A7EA3" w:rsidP="006A0740">
            <w:pPr>
              <w:spacing w:line="240" w:lineRule="atLeast"/>
              <w:jc w:val="center"/>
              <w:rPr>
                <w:rFonts w:ascii="Times New Roman" w:eastAsia="Times New Roman" w:hAnsi="Times New Roman" w:cs="Times New Roman"/>
                <w:iCs/>
                <w:sz w:val="20"/>
                <w:szCs w:val="20"/>
              </w:rPr>
            </w:pPr>
            <w:r w:rsidRPr="00AC21F0">
              <w:rPr>
                <w:rFonts w:ascii="Times New Roman" w:hAnsi="Times New Roman" w:cs="Times New Roman"/>
                <w:sz w:val="20"/>
                <w:szCs w:val="20"/>
              </w:rPr>
              <w:t>2</w:t>
            </w:r>
          </w:p>
        </w:tc>
        <w:tc>
          <w:tcPr>
            <w:tcW w:w="450" w:type="dxa"/>
            <w:shd w:val="clear" w:color="auto" w:fill="D0CECE" w:themeFill="background2" w:themeFillShade="E6"/>
          </w:tcPr>
          <w:p w14:paraId="04E9A02F" w14:textId="584B0512" w:rsidR="000A7EA3" w:rsidRPr="00AC21F0" w:rsidRDefault="000A7EA3" w:rsidP="006A0740">
            <w:pPr>
              <w:spacing w:line="240" w:lineRule="atLeast"/>
              <w:jc w:val="center"/>
              <w:rPr>
                <w:rFonts w:ascii="Times New Roman" w:hAnsi="Times New Roman" w:cs="Times New Roman"/>
                <w:sz w:val="20"/>
                <w:szCs w:val="20"/>
              </w:rPr>
            </w:pPr>
            <w:r w:rsidRPr="00AC21F0">
              <w:rPr>
                <w:rFonts w:ascii="Times New Roman" w:hAnsi="Times New Roman" w:cs="Times New Roman"/>
                <w:sz w:val="20"/>
                <w:szCs w:val="20"/>
              </w:rPr>
              <w:t>3</w:t>
            </w:r>
          </w:p>
        </w:tc>
        <w:tc>
          <w:tcPr>
            <w:tcW w:w="644" w:type="dxa"/>
            <w:shd w:val="clear" w:color="auto" w:fill="BFBFBF"/>
          </w:tcPr>
          <w:p w14:paraId="11B2F0E9" w14:textId="510E5F67" w:rsidR="000A7EA3" w:rsidRPr="00AC21F0" w:rsidRDefault="000A7EA3" w:rsidP="006A0740">
            <w:pPr>
              <w:spacing w:line="240" w:lineRule="atLeast"/>
              <w:jc w:val="center"/>
              <w:rPr>
                <w:rFonts w:ascii="Times New Roman" w:eastAsia="Times New Roman" w:hAnsi="Times New Roman" w:cs="Times New Roman"/>
                <w:i/>
                <w:sz w:val="20"/>
                <w:szCs w:val="20"/>
              </w:rPr>
            </w:pPr>
            <w:r w:rsidRPr="00AC21F0">
              <w:rPr>
                <w:rFonts w:ascii="Times New Roman" w:hAnsi="Times New Roman" w:cs="Times New Roman"/>
                <w:sz w:val="20"/>
                <w:szCs w:val="20"/>
              </w:rPr>
              <w:t>4</w:t>
            </w:r>
          </w:p>
        </w:tc>
        <w:tc>
          <w:tcPr>
            <w:tcW w:w="5040" w:type="dxa"/>
            <w:shd w:val="clear" w:color="auto" w:fill="BFBFBF"/>
          </w:tcPr>
          <w:p w14:paraId="18D0D936" w14:textId="2F6EC06B" w:rsidR="000A7EA3" w:rsidRPr="00AC21F0" w:rsidRDefault="000A7EA3" w:rsidP="006A0740">
            <w:pPr>
              <w:spacing w:line="240" w:lineRule="atLeast"/>
              <w:jc w:val="center"/>
              <w:rPr>
                <w:rFonts w:ascii="Times New Roman" w:eastAsia="Times New Roman" w:hAnsi="Times New Roman" w:cs="Times New Roman"/>
                <w:i/>
                <w:sz w:val="20"/>
                <w:szCs w:val="20"/>
              </w:rPr>
            </w:pPr>
            <w:r w:rsidRPr="00AC21F0">
              <w:rPr>
                <w:rFonts w:ascii="Times New Roman" w:hAnsi="Times New Roman" w:cs="Times New Roman"/>
                <w:sz w:val="20"/>
                <w:szCs w:val="20"/>
              </w:rPr>
              <w:t>5</w:t>
            </w:r>
          </w:p>
        </w:tc>
        <w:tc>
          <w:tcPr>
            <w:tcW w:w="720" w:type="dxa"/>
            <w:shd w:val="clear" w:color="auto" w:fill="BFBFBF"/>
          </w:tcPr>
          <w:p w14:paraId="1F29B9CC" w14:textId="46D8A615" w:rsidR="000A7EA3" w:rsidRPr="00AC21F0" w:rsidRDefault="000A7EA3" w:rsidP="006A0740">
            <w:pPr>
              <w:spacing w:line="240" w:lineRule="atLeast"/>
              <w:jc w:val="center"/>
              <w:rPr>
                <w:rFonts w:ascii="Times New Roman" w:eastAsia="Times New Roman" w:hAnsi="Times New Roman" w:cs="Times New Roman"/>
                <w:i/>
                <w:sz w:val="20"/>
                <w:szCs w:val="20"/>
              </w:rPr>
            </w:pPr>
            <w:r w:rsidRPr="00AC21F0">
              <w:rPr>
                <w:rFonts w:ascii="Times New Roman" w:hAnsi="Times New Roman" w:cs="Times New Roman"/>
                <w:sz w:val="20"/>
                <w:szCs w:val="20"/>
              </w:rPr>
              <w:t>6</w:t>
            </w:r>
          </w:p>
        </w:tc>
        <w:tc>
          <w:tcPr>
            <w:tcW w:w="3510" w:type="dxa"/>
            <w:shd w:val="clear" w:color="auto" w:fill="BFBFBF"/>
          </w:tcPr>
          <w:p w14:paraId="1EC97E09" w14:textId="00684BF9" w:rsidR="000A7EA3" w:rsidRPr="00AC21F0" w:rsidRDefault="000A7EA3" w:rsidP="006A0740">
            <w:pPr>
              <w:spacing w:line="240" w:lineRule="atLeast"/>
              <w:jc w:val="center"/>
              <w:rPr>
                <w:rFonts w:ascii="Times New Roman" w:eastAsia="Times New Roman" w:hAnsi="Times New Roman" w:cs="Times New Roman"/>
                <w:i/>
                <w:sz w:val="20"/>
                <w:szCs w:val="20"/>
              </w:rPr>
            </w:pPr>
            <w:r w:rsidRPr="00AC21F0">
              <w:rPr>
                <w:rFonts w:ascii="Times New Roman" w:hAnsi="Times New Roman" w:cs="Times New Roman"/>
                <w:sz w:val="20"/>
                <w:szCs w:val="20"/>
              </w:rPr>
              <w:t>7</w:t>
            </w:r>
          </w:p>
        </w:tc>
      </w:tr>
      <w:tr w:rsidR="00260632" w:rsidRPr="00AC21F0" w14:paraId="33DF4310" w14:textId="77777777" w:rsidTr="004738EE">
        <w:trPr>
          <w:tblHeader/>
        </w:trPr>
        <w:tc>
          <w:tcPr>
            <w:tcW w:w="540" w:type="dxa"/>
            <w:shd w:val="clear" w:color="auto" w:fill="BFBFBF"/>
            <w:vAlign w:val="center"/>
          </w:tcPr>
          <w:p w14:paraId="39F8C6F9" w14:textId="77777777" w:rsidR="000A7EA3" w:rsidRPr="00AC21F0" w:rsidRDefault="000A7EA3" w:rsidP="006A0740">
            <w:pPr>
              <w:spacing w:line="240" w:lineRule="atLeast"/>
              <w:jc w:val="center"/>
              <w:rPr>
                <w:rFonts w:ascii="Times New Roman" w:eastAsia="Times New Roman" w:hAnsi="Times New Roman" w:cs="Times New Roman"/>
                <w:sz w:val="20"/>
                <w:szCs w:val="20"/>
                <w:lang w:val="en-US"/>
              </w:rPr>
            </w:pPr>
            <w:r w:rsidRPr="00AC21F0">
              <w:rPr>
                <w:rFonts w:ascii="Times New Roman" w:eastAsia="Times New Roman" w:hAnsi="Times New Roman" w:cs="Times New Roman"/>
                <w:sz w:val="20"/>
                <w:szCs w:val="20"/>
                <w:lang w:val="en-US"/>
              </w:rPr>
              <w:t xml:space="preserve">Article </w:t>
            </w:r>
          </w:p>
        </w:tc>
        <w:tc>
          <w:tcPr>
            <w:tcW w:w="5400" w:type="dxa"/>
            <w:shd w:val="clear" w:color="auto" w:fill="BFBFBF"/>
            <w:vAlign w:val="center"/>
          </w:tcPr>
          <w:p w14:paraId="17F6068A" w14:textId="77777777" w:rsidR="000A7EA3" w:rsidRPr="00AC21F0" w:rsidRDefault="000A7EA3" w:rsidP="006A0740">
            <w:pPr>
              <w:spacing w:line="240" w:lineRule="atLeast"/>
              <w:jc w:val="center"/>
              <w:rPr>
                <w:rFonts w:ascii="Times New Roman" w:eastAsia="Times New Roman" w:hAnsi="Times New Roman" w:cs="Times New Roman"/>
                <w:iCs/>
                <w:sz w:val="20"/>
                <w:szCs w:val="20"/>
                <w:lang w:val="en-US"/>
              </w:rPr>
            </w:pPr>
            <w:r w:rsidRPr="00AC21F0">
              <w:rPr>
                <w:rFonts w:ascii="Times New Roman" w:eastAsia="Times New Roman" w:hAnsi="Times New Roman" w:cs="Times New Roman"/>
                <w:iCs/>
                <w:sz w:val="20"/>
                <w:szCs w:val="20"/>
                <w:lang w:val="en-US"/>
              </w:rPr>
              <w:t>Text</w:t>
            </w:r>
          </w:p>
        </w:tc>
        <w:tc>
          <w:tcPr>
            <w:tcW w:w="450" w:type="dxa"/>
            <w:shd w:val="clear" w:color="auto" w:fill="D0CECE" w:themeFill="background2" w:themeFillShade="E6"/>
          </w:tcPr>
          <w:p w14:paraId="476E07DB" w14:textId="1B56A2D0" w:rsidR="000A7EA3" w:rsidRPr="00AC21F0" w:rsidRDefault="000A7EA3" w:rsidP="006A0740">
            <w:pPr>
              <w:spacing w:line="240" w:lineRule="atLeast"/>
              <w:jc w:val="center"/>
              <w:rPr>
                <w:rFonts w:ascii="Times New Roman" w:hAnsi="Times New Roman" w:cs="Times New Roman"/>
                <w:sz w:val="20"/>
                <w:szCs w:val="20"/>
              </w:rPr>
            </w:pPr>
            <w:r w:rsidRPr="00AC21F0">
              <w:rPr>
                <w:rFonts w:ascii="Times New Roman" w:hAnsi="Times New Roman" w:cs="Times New Roman"/>
                <w:sz w:val="20"/>
                <w:szCs w:val="20"/>
              </w:rPr>
              <w:t>Reference</w:t>
            </w:r>
          </w:p>
        </w:tc>
        <w:tc>
          <w:tcPr>
            <w:tcW w:w="644" w:type="dxa"/>
            <w:shd w:val="clear" w:color="auto" w:fill="BFBFBF"/>
            <w:vAlign w:val="center"/>
          </w:tcPr>
          <w:p w14:paraId="5B81B475" w14:textId="25304259" w:rsidR="000A7EA3" w:rsidRPr="00AC21F0" w:rsidRDefault="000A7EA3" w:rsidP="006A0740">
            <w:pPr>
              <w:spacing w:line="240" w:lineRule="atLeast"/>
              <w:jc w:val="center"/>
              <w:rPr>
                <w:rFonts w:ascii="Times New Roman" w:eastAsia="Times New Roman" w:hAnsi="Times New Roman" w:cs="Times New Roman"/>
                <w:i/>
                <w:sz w:val="20"/>
                <w:szCs w:val="20"/>
                <w:lang w:val="en-US"/>
              </w:rPr>
            </w:pPr>
            <w:r w:rsidRPr="00AC21F0">
              <w:rPr>
                <w:rFonts w:ascii="Times New Roman" w:eastAsia="Times New Roman" w:hAnsi="Times New Roman" w:cs="Times New Roman"/>
                <w:i/>
                <w:sz w:val="20"/>
                <w:szCs w:val="20"/>
                <w:lang w:val="en-US"/>
              </w:rPr>
              <w:t>Article</w:t>
            </w:r>
          </w:p>
        </w:tc>
        <w:tc>
          <w:tcPr>
            <w:tcW w:w="5040" w:type="dxa"/>
            <w:shd w:val="clear" w:color="auto" w:fill="BFBFBF"/>
            <w:vAlign w:val="center"/>
          </w:tcPr>
          <w:p w14:paraId="19F4D508" w14:textId="77777777" w:rsidR="000A7EA3" w:rsidRPr="00AC21F0" w:rsidRDefault="000A7EA3" w:rsidP="006A0740">
            <w:pPr>
              <w:spacing w:line="240" w:lineRule="atLeast"/>
              <w:jc w:val="center"/>
              <w:rPr>
                <w:rFonts w:ascii="Times New Roman" w:eastAsia="Times New Roman" w:hAnsi="Times New Roman" w:cs="Times New Roman"/>
                <w:i/>
                <w:sz w:val="20"/>
                <w:szCs w:val="20"/>
                <w:lang w:val="en-US"/>
              </w:rPr>
            </w:pPr>
            <w:r w:rsidRPr="00AC21F0">
              <w:rPr>
                <w:rFonts w:ascii="Times New Roman" w:eastAsia="Times New Roman" w:hAnsi="Times New Roman" w:cs="Times New Roman"/>
                <w:i/>
                <w:sz w:val="20"/>
                <w:szCs w:val="20"/>
                <w:lang w:val="en-US"/>
              </w:rPr>
              <w:t>Text</w:t>
            </w:r>
          </w:p>
        </w:tc>
        <w:tc>
          <w:tcPr>
            <w:tcW w:w="720" w:type="dxa"/>
            <w:shd w:val="clear" w:color="auto" w:fill="BFBFBF"/>
            <w:vAlign w:val="center"/>
          </w:tcPr>
          <w:p w14:paraId="609D564B" w14:textId="77777777" w:rsidR="000A7EA3" w:rsidRPr="00AC21F0" w:rsidRDefault="000A7EA3" w:rsidP="006A0740">
            <w:pPr>
              <w:spacing w:line="240" w:lineRule="atLeast"/>
              <w:jc w:val="center"/>
              <w:rPr>
                <w:rFonts w:ascii="Times New Roman" w:eastAsia="Times New Roman" w:hAnsi="Times New Roman" w:cs="Times New Roman"/>
                <w:i/>
                <w:sz w:val="20"/>
                <w:szCs w:val="20"/>
                <w:lang w:val="en-US"/>
              </w:rPr>
            </w:pPr>
            <w:r w:rsidRPr="00AC21F0">
              <w:rPr>
                <w:rFonts w:ascii="Times New Roman" w:eastAsia="Times New Roman" w:hAnsi="Times New Roman" w:cs="Times New Roman"/>
                <w:i/>
                <w:sz w:val="20"/>
                <w:szCs w:val="20"/>
                <w:lang w:val="en-US"/>
              </w:rPr>
              <w:t>Compliance</w:t>
            </w:r>
          </w:p>
        </w:tc>
        <w:tc>
          <w:tcPr>
            <w:tcW w:w="3510" w:type="dxa"/>
            <w:shd w:val="clear" w:color="auto" w:fill="BFBFBF"/>
            <w:vAlign w:val="center"/>
          </w:tcPr>
          <w:p w14:paraId="0F04528A" w14:textId="77777777" w:rsidR="000A7EA3" w:rsidRPr="00AC21F0" w:rsidRDefault="000A7EA3" w:rsidP="006A0740">
            <w:pPr>
              <w:spacing w:line="240" w:lineRule="atLeast"/>
              <w:jc w:val="center"/>
              <w:rPr>
                <w:rFonts w:ascii="Times New Roman" w:eastAsia="Times New Roman" w:hAnsi="Times New Roman" w:cs="Times New Roman"/>
                <w:i/>
                <w:sz w:val="20"/>
                <w:szCs w:val="20"/>
                <w:lang w:val="en-US"/>
              </w:rPr>
            </w:pPr>
            <w:r w:rsidRPr="00AC21F0">
              <w:rPr>
                <w:rFonts w:ascii="Times New Roman" w:eastAsia="Times New Roman" w:hAnsi="Times New Roman" w:cs="Times New Roman"/>
                <w:i/>
                <w:sz w:val="20"/>
                <w:szCs w:val="20"/>
                <w:lang w:val="en-US"/>
              </w:rPr>
              <w:t>Notes</w:t>
            </w:r>
          </w:p>
        </w:tc>
      </w:tr>
      <w:tr w:rsidR="00260632" w:rsidRPr="00AC21F0" w14:paraId="6560FCB0" w14:textId="77777777" w:rsidTr="007022FA">
        <w:trPr>
          <w:trHeight w:val="404"/>
        </w:trPr>
        <w:tc>
          <w:tcPr>
            <w:tcW w:w="540" w:type="dxa"/>
            <w:shd w:val="clear" w:color="auto" w:fill="F2F2F2"/>
          </w:tcPr>
          <w:p w14:paraId="2C6C40A7" w14:textId="77777777" w:rsidR="000A7EA3" w:rsidRPr="00AC21F0" w:rsidRDefault="000A7EA3" w:rsidP="006A0740">
            <w:pPr>
              <w:spacing w:line="240" w:lineRule="atLeast"/>
              <w:jc w:val="center"/>
              <w:rPr>
                <w:rFonts w:ascii="Times New Roman" w:eastAsia="Calibri" w:hAnsi="Times New Roman" w:cs="Times New Roman"/>
                <w:i/>
                <w:iCs/>
                <w:sz w:val="20"/>
                <w:szCs w:val="20"/>
                <w:lang w:val="en-US"/>
              </w:rPr>
            </w:pPr>
          </w:p>
        </w:tc>
        <w:tc>
          <w:tcPr>
            <w:tcW w:w="5400" w:type="dxa"/>
            <w:shd w:val="clear" w:color="auto" w:fill="F2F2F2"/>
          </w:tcPr>
          <w:p w14:paraId="4FF914BE" w14:textId="1C6F6ECE" w:rsidR="00990A3C" w:rsidRPr="00AC21F0" w:rsidRDefault="003C045B" w:rsidP="006A0740">
            <w:pPr>
              <w:spacing w:line="240" w:lineRule="atLeast"/>
              <w:rPr>
                <w:rFonts w:ascii="Times New Roman" w:hAnsi="Times New Roman" w:cs="Times New Roman"/>
                <w:sz w:val="20"/>
                <w:szCs w:val="20"/>
              </w:rPr>
            </w:pPr>
            <w:bookmarkStart w:id="0" w:name="articolul1"/>
            <w:bookmarkEnd w:id="0"/>
            <w:r w:rsidRPr="00AC21F0">
              <w:rPr>
                <w:rFonts w:ascii="Times New Roman" w:hAnsi="Times New Roman" w:cs="Times New Roman"/>
                <w:sz w:val="20"/>
                <w:szCs w:val="20"/>
              </w:rPr>
              <w:t>Preambula</w:t>
            </w:r>
          </w:p>
        </w:tc>
        <w:tc>
          <w:tcPr>
            <w:tcW w:w="450" w:type="dxa"/>
          </w:tcPr>
          <w:p w14:paraId="63FB219E" w14:textId="77777777" w:rsidR="000A7EA3" w:rsidRPr="00AC21F0" w:rsidRDefault="000A7EA3" w:rsidP="006A0740">
            <w:pPr>
              <w:spacing w:line="240" w:lineRule="atLeast"/>
              <w:rPr>
                <w:rFonts w:ascii="Times New Roman" w:eastAsia="Calibri" w:hAnsi="Times New Roman" w:cs="Times New Roman"/>
                <w:sz w:val="20"/>
                <w:szCs w:val="20"/>
              </w:rPr>
            </w:pPr>
          </w:p>
        </w:tc>
        <w:tc>
          <w:tcPr>
            <w:tcW w:w="644" w:type="dxa"/>
            <w:shd w:val="clear" w:color="auto" w:fill="F2F2F2"/>
          </w:tcPr>
          <w:p w14:paraId="373E1C1C" w14:textId="3802F198" w:rsidR="000A7EA3" w:rsidRPr="00AC21F0" w:rsidRDefault="000A7EA3" w:rsidP="006A0740">
            <w:pPr>
              <w:spacing w:line="240" w:lineRule="atLeast"/>
              <w:rPr>
                <w:rFonts w:ascii="Times New Roman" w:eastAsia="Calibri" w:hAnsi="Times New Roman" w:cs="Times New Roman"/>
                <w:sz w:val="20"/>
                <w:szCs w:val="20"/>
                <w:lang w:val="en-US"/>
              </w:rPr>
            </w:pPr>
          </w:p>
        </w:tc>
        <w:tc>
          <w:tcPr>
            <w:tcW w:w="5040" w:type="dxa"/>
            <w:shd w:val="clear" w:color="auto" w:fill="F2F2F2"/>
          </w:tcPr>
          <w:p w14:paraId="05774928" w14:textId="38E7A513" w:rsidR="007C1261" w:rsidRPr="00AC21F0" w:rsidRDefault="007C1261" w:rsidP="006A0740">
            <w:pPr>
              <w:spacing w:line="240" w:lineRule="atLeast"/>
              <w:jc w:val="center"/>
              <w:rPr>
                <w:rFonts w:ascii="Times New Roman" w:hAnsi="Times New Roman" w:cs="Times New Roman"/>
                <w:sz w:val="20"/>
                <w:szCs w:val="20"/>
              </w:rPr>
            </w:pPr>
            <w:r w:rsidRPr="00AC21F0">
              <w:rPr>
                <w:rFonts w:ascii="Times New Roman" w:hAnsi="Times New Roman" w:cs="Times New Roman"/>
                <w:sz w:val="20"/>
                <w:szCs w:val="20"/>
              </w:rPr>
              <w:t>Article 1</w:t>
            </w:r>
          </w:p>
          <w:p w14:paraId="64C93E4E" w14:textId="118BA340" w:rsidR="000A7EA3" w:rsidRPr="00AC21F0" w:rsidRDefault="007C1261" w:rsidP="006A0740">
            <w:pPr>
              <w:spacing w:line="240" w:lineRule="atLeast"/>
              <w:jc w:val="center"/>
              <w:rPr>
                <w:rFonts w:ascii="Times New Roman" w:hAnsi="Times New Roman" w:cs="Times New Roman"/>
                <w:sz w:val="20"/>
                <w:szCs w:val="20"/>
              </w:rPr>
            </w:pPr>
            <w:r w:rsidRPr="00AC21F0">
              <w:rPr>
                <w:rFonts w:ascii="Times New Roman" w:hAnsi="Times New Roman" w:cs="Times New Roman"/>
                <w:sz w:val="20"/>
                <w:szCs w:val="20"/>
              </w:rPr>
              <w:t>Subject matter</w:t>
            </w:r>
          </w:p>
        </w:tc>
        <w:tc>
          <w:tcPr>
            <w:tcW w:w="720" w:type="dxa"/>
            <w:shd w:val="clear" w:color="auto" w:fill="F2F2F2"/>
          </w:tcPr>
          <w:p w14:paraId="176811E7" w14:textId="77777777" w:rsidR="000A7EA3" w:rsidRPr="00AC21F0" w:rsidRDefault="000A7EA3" w:rsidP="006A0740">
            <w:pPr>
              <w:spacing w:line="240" w:lineRule="atLeast"/>
              <w:jc w:val="center"/>
              <w:rPr>
                <w:rFonts w:ascii="Times New Roman" w:eastAsia="Calibri" w:hAnsi="Times New Roman" w:cs="Times New Roman"/>
                <w:sz w:val="20"/>
                <w:szCs w:val="20"/>
                <w:lang w:val="en-US"/>
              </w:rPr>
            </w:pPr>
          </w:p>
        </w:tc>
        <w:tc>
          <w:tcPr>
            <w:tcW w:w="3510" w:type="dxa"/>
            <w:shd w:val="clear" w:color="auto" w:fill="F2F2F2"/>
          </w:tcPr>
          <w:p w14:paraId="0E837D0C" w14:textId="77777777" w:rsidR="000A7EA3" w:rsidRPr="00AC21F0" w:rsidRDefault="000A7EA3" w:rsidP="006A0740">
            <w:pPr>
              <w:spacing w:line="240" w:lineRule="atLeast"/>
              <w:rPr>
                <w:rFonts w:ascii="Times New Roman" w:eastAsia="Calibri" w:hAnsi="Times New Roman" w:cs="Times New Roman"/>
                <w:sz w:val="20"/>
                <w:szCs w:val="20"/>
                <w:lang w:val="en-US"/>
              </w:rPr>
            </w:pPr>
          </w:p>
        </w:tc>
      </w:tr>
      <w:tr w:rsidR="00260632" w:rsidRPr="00AC21F0" w14:paraId="7F6FBBB8" w14:textId="77777777" w:rsidTr="004738EE">
        <w:trPr>
          <w:trHeight w:val="1520"/>
        </w:trPr>
        <w:tc>
          <w:tcPr>
            <w:tcW w:w="540" w:type="dxa"/>
          </w:tcPr>
          <w:p w14:paraId="54CAE924" w14:textId="77777777" w:rsidR="000A7EA3" w:rsidRPr="00AC21F0" w:rsidRDefault="000A7EA3" w:rsidP="006A0740">
            <w:pPr>
              <w:spacing w:line="240" w:lineRule="atLeast"/>
              <w:jc w:val="both"/>
              <w:rPr>
                <w:rFonts w:ascii="Times New Roman" w:eastAsia="Calibri" w:hAnsi="Times New Roman" w:cs="Times New Roman"/>
                <w:sz w:val="20"/>
                <w:szCs w:val="20"/>
                <w:lang w:val="en-US"/>
              </w:rPr>
            </w:pPr>
            <w:r w:rsidRPr="00AC21F0">
              <w:rPr>
                <w:rFonts w:ascii="Times New Roman" w:eastAsia="Calibri" w:hAnsi="Times New Roman" w:cs="Times New Roman"/>
                <w:sz w:val="20"/>
                <w:szCs w:val="20"/>
                <w:lang w:val="en-US"/>
              </w:rPr>
              <w:t>1</w:t>
            </w:r>
          </w:p>
        </w:tc>
        <w:tc>
          <w:tcPr>
            <w:tcW w:w="5400" w:type="dxa"/>
          </w:tcPr>
          <w:p w14:paraId="30D0BBD4" w14:textId="5395F5DC" w:rsidR="003C045B" w:rsidRPr="00AC21F0" w:rsidRDefault="003C045B" w:rsidP="006A0740">
            <w:pPr>
              <w:pStyle w:val="Heading2"/>
              <w:spacing w:line="240" w:lineRule="atLeast"/>
              <w:rPr>
                <w:rFonts w:ascii="Times New Roman" w:eastAsia="Times New Roman" w:hAnsi="Times New Roman" w:cs="Times New Roman"/>
                <w:color w:val="auto"/>
                <w:sz w:val="20"/>
                <w:szCs w:val="20"/>
              </w:rPr>
            </w:pPr>
            <w:r w:rsidRPr="00AC21F0">
              <w:rPr>
                <w:rFonts w:ascii="Times New Roman" w:hAnsi="Times New Roman" w:cs="Times New Roman"/>
                <w:color w:val="333333"/>
                <w:sz w:val="20"/>
                <w:szCs w:val="20"/>
              </w:rPr>
              <w:t xml:space="preserve">Preambula </w:t>
            </w:r>
            <w:bookmarkStart w:id="1" w:name="_Toc216435514"/>
            <w:r w:rsidR="00952ABD" w:rsidRPr="00AC21F0">
              <w:rPr>
                <w:rFonts w:ascii="Times New Roman" w:hAnsi="Times New Roman" w:cs="Times New Roman"/>
                <w:color w:val="333333"/>
                <w:sz w:val="20"/>
                <w:szCs w:val="20"/>
              </w:rPr>
              <w:t>e</w:t>
            </w:r>
            <w:r w:rsidRPr="00AC21F0">
              <w:rPr>
                <w:rFonts w:ascii="Times New Roman" w:eastAsia="Times New Roman" w:hAnsi="Times New Roman" w:cs="Times New Roman"/>
                <w:color w:val="auto"/>
                <w:sz w:val="20"/>
                <w:szCs w:val="20"/>
              </w:rPr>
              <w:t xml:space="preserve"> Directive </w:t>
            </w:r>
            <w:r w:rsidR="00952ABD" w:rsidRPr="00AC21F0">
              <w:rPr>
                <w:rFonts w:ascii="Times New Roman" w:eastAsia="Times New Roman" w:hAnsi="Times New Roman" w:cs="Times New Roman"/>
                <w:color w:val="auto"/>
                <w:sz w:val="20"/>
                <w:szCs w:val="20"/>
              </w:rPr>
              <w:t xml:space="preserve"> </w:t>
            </w:r>
            <w:r w:rsidRPr="00AC21F0">
              <w:rPr>
                <w:rFonts w:ascii="Times New Roman" w:eastAsia="Times New Roman" w:hAnsi="Times New Roman" w:cs="Times New Roman"/>
                <w:color w:val="auto"/>
                <w:sz w:val="20"/>
                <w:szCs w:val="20"/>
              </w:rPr>
              <w:t xml:space="preserve">(EU) 2020/284 </w:t>
            </w:r>
            <w:bookmarkEnd w:id="1"/>
          </w:p>
          <w:p w14:paraId="28C7E6F9" w14:textId="52C28BAE" w:rsidR="0077636B" w:rsidRPr="00AC21F0" w:rsidRDefault="0077636B" w:rsidP="006A0740">
            <w:pPr>
              <w:pStyle w:val="oj-ti-grseq-1"/>
              <w:shd w:val="clear" w:color="auto" w:fill="FFFFFF"/>
              <w:spacing w:before="240" w:beforeAutospacing="0" w:after="120" w:afterAutospacing="0" w:line="240" w:lineRule="atLeast"/>
              <w:jc w:val="both"/>
              <w:rPr>
                <w:color w:val="333333"/>
                <w:sz w:val="20"/>
                <w:szCs w:val="20"/>
              </w:rPr>
            </w:pPr>
          </w:p>
          <w:p w14:paraId="075EF7ED" w14:textId="58550EF7" w:rsidR="000A7EA3" w:rsidRPr="00AC21F0" w:rsidRDefault="000A7EA3" w:rsidP="006A0740">
            <w:pPr>
              <w:spacing w:line="240" w:lineRule="atLeast"/>
              <w:jc w:val="both"/>
              <w:rPr>
                <w:rFonts w:ascii="Times New Roman" w:eastAsia="Calibri" w:hAnsi="Times New Roman" w:cs="Times New Roman"/>
                <w:iCs/>
                <w:sz w:val="20"/>
                <w:szCs w:val="20"/>
                <w:lang w:val="en-US"/>
              </w:rPr>
            </w:pPr>
          </w:p>
        </w:tc>
        <w:tc>
          <w:tcPr>
            <w:tcW w:w="450" w:type="dxa"/>
          </w:tcPr>
          <w:p w14:paraId="6D951FCC" w14:textId="7B0A04B6" w:rsidR="000A7EA3" w:rsidRPr="00AC21F0" w:rsidRDefault="000A7EA3" w:rsidP="006A0740">
            <w:pPr>
              <w:spacing w:line="240" w:lineRule="atLeast"/>
              <w:jc w:val="center"/>
              <w:rPr>
                <w:rFonts w:ascii="Times New Roman" w:eastAsia="Calibri" w:hAnsi="Times New Roman" w:cs="Times New Roman"/>
                <w:sz w:val="20"/>
                <w:szCs w:val="20"/>
              </w:rPr>
            </w:pPr>
            <w:r w:rsidRPr="00AC21F0">
              <w:rPr>
                <w:rFonts w:ascii="Times New Roman" w:eastAsia="Calibri" w:hAnsi="Times New Roman" w:cs="Times New Roman"/>
                <w:sz w:val="20"/>
                <w:szCs w:val="20"/>
              </w:rPr>
              <w:t>1</w:t>
            </w:r>
          </w:p>
        </w:tc>
        <w:tc>
          <w:tcPr>
            <w:tcW w:w="644" w:type="dxa"/>
          </w:tcPr>
          <w:p w14:paraId="7B749314" w14:textId="307783B1" w:rsidR="000A7EA3" w:rsidRPr="00AC21F0" w:rsidRDefault="0077636B" w:rsidP="006A0740">
            <w:pPr>
              <w:spacing w:line="240" w:lineRule="atLeast"/>
              <w:jc w:val="center"/>
              <w:rPr>
                <w:rFonts w:ascii="Times New Roman" w:eastAsia="Calibri" w:hAnsi="Times New Roman" w:cs="Times New Roman"/>
                <w:sz w:val="20"/>
                <w:szCs w:val="20"/>
                <w:lang w:val="en-US"/>
              </w:rPr>
            </w:pPr>
            <w:r w:rsidRPr="00AC21F0">
              <w:rPr>
                <w:rFonts w:ascii="Times New Roman" w:eastAsia="Calibri" w:hAnsi="Times New Roman" w:cs="Times New Roman"/>
                <w:sz w:val="20"/>
                <w:szCs w:val="20"/>
                <w:lang w:val="en-US"/>
              </w:rPr>
              <w:t>1</w:t>
            </w:r>
          </w:p>
        </w:tc>
        <w:tc>
          <w:tcPr>
            <w:tcW w:w="5040" w:type="dxa"/>
          </w:tcPr>
          <w:p w14:paraId="7D2CEC06" w14:textId="20D5BA49" w:rsidR="000A7EA3" w:rsidRPr="00AC21F0" w:rsidRDefault="007C1261" w:rsidP="006A0740">
            <w:pPr>
              <w:spacing w:line="240" w:lineRule="atLeast"/>
              <w:jc w:val="both"/>
              <w:rPr>
                <w:rFonts w:ascii="Times New Roman" w:eastAsia="Calibri" w:hAnsi="Times New Roman" w:cs="Times New Roman"/>
                <w:sz w:val="20"/>
                <w:szCs w:val="20"/>
              </w:rPr>
            </w:pPr>
            <w:r w:rsidRPr="00AC21F0">
              <w:rPr>
                <w:rFonts w:ascii="Times New Roman" w:hAnsi="Times New Roman" w:cs="Times New Roman"/>
                <w:sz w:val="20"/>
                <w:szCs w:val="20"/>
              </w:rPr>
              <w:t xml:space="preserve">The subject matter of this Law is to determine the rules of payment service providers to collect and report data to the tax administration on cross-border payments,   as well as the transmission of such data to the Central Electronic System of Information on Cross-Border Payments (CESOP) , in accordance with the Council Regulation (EU) No. 904/2010, </w:t>
            </w:r>
            <w:r w:rsidRPr="00AC21F0">
              <w:rPr>
                <w:rFonts w:ascii="Times New Roman" w:hAnsi="Times New Roman" w:cs="Times New Roman"/>
                <w:sz w:val="20"/>
                <w:szCs w:val="20"/>
              </w:rPr>
              <w:lastRenderedPageBreak/>
              <w:t xml:space="preserve">as amended, for the purposes </w:t>
            </w:r>
            <w:r w:rsidR="00BF1CFB" w:rsidRPr="00AC21F0">
              <w:rPr>
                <w:rFonts w:ascii="Times New Roman" w:hAnsi="Times New Roman" w:cs="Times New Roman"/>
                <w:sz w:val="20"/>
                <w:szCs w:val="20"/>
              </w:rPr>
              <w:t>of preventing, identifying, combating fraud and controlling in the field of VAT.</w:t>
            </w:r>
            <w:r w:rsidRPr="00AC21F0">
              <w:rPr>
                <w:rFonts w:ascii="Times New Roman" w:hAnsi="Times New Roman" w:cs="Times New Roman"/>
                <w:sz w:val="20"/>
                <w:szCs w:val="20"/>
              </w:rPr>
              <w:t>.</w:t>
            </w:r>
          </w:p>
        </w:tc>
        <w:tc>
          <w:tcPr>
            <w:tcW w:w="720" w:type="dxa"/>
          </w:tcPr>
          <w:p w14:paraId="3F6791D3" w14:textId="4B9D7F40" w:rsidR="000A7EA3" w:rsidRPr="00AC21F0" w:rsidRDefault="000A7EA3" w:rsidP="006A0740">
            <w:pPr>
              <w:spacing w:line="240" w:lineRule="atLeast"/>
              <w:jc w:val="center"/>
              <w:rPr>
                <w:rFonts w:ascii="Times New Roman" w:eastAsia="Calibri" w:hAnsi="Times New Roman" w:cs="Times New Roman"/>
                <w:sz w:val="20"/>
                <w:szCs w:val="20"/>
                <w:lang w:val="en-US"/>
              </w:rPr>
            </w:pPr>
            <w:r w:rsidRPr="00AC21F0">
              <w:rPr>
                <w:rFonts w:ascii="Times New Roman" w:eastAsia="Calibri" w:hAnsi="Times New Roman" w:cs="Times New Roman"/>
                <w:sz w:val="20"/>
                <w:szCs w:val="20"/>
                <w:lang w:val="en-US"/>
              </w:rPr>
              <w:lastRenderedPageBreak/>
              <w:t xml:space="preserve">F </w:t>
            </w:r>
          </w:p>
        </w:tc>
        <w:tc>
          <w:tcPr>
            <w:tcW w:w="3510" w:type="dxa"/>
          </w:tcPr>
          <w:p w14:paraId="736FE64D" w14:textId="77777777" w:rsidR="008C4514" w:rsidRPr="00AC21F0" w:rsidRDefault="008C4514" w:rsidP="006A0740">
            <w:pPr>
              <w:spacing w:line="240" w:lineRule="atLeast"/>
              <w:jc w:val="both"/>
              <w:rPr>
                <w:rFonts w:ascii="Times New Roman" w:hAnsi="Times New Roman" w:cs="Times New Roman"/>
                <w:color w:val="333333"/>
                <w:sz w:val="20"/>
                <w:szCs w:val="20"/>
                <w:shd w:val="clear" w:color="auto" w:fill="FFFFFF"/>
              </w:rPr>
            </w:pPr>
            <w:r w:rsidRPr="00AC21F0">
              <w:rPr>
                <w:rFonts w:ascii="Times New Roman" w:eastAsia="Times New Roman" w:hAnsi="Times New Roman" w:cs="Times New Roman"/>
                <w:sz w:val="20"/>
                <w:szCs w:val="20"/>
                <w:lang w:val="en-US"/>
              </w:rPr>
              <w:t xml:space="preserve">The provisions of the </w:t>
            </w:r>
            <w:r w:rsidRPr="00AC21F0">
              <w:rPr>
                <w:rFonts w:ascii="Times New Roman" w:hAnsi="Times New Roman" w:cs="Times New Roman"/>
                <w:color w:val="333333"/>
                <w:sz w:val="20"/>
                <w:szCs w:val="20"/>
                <w:shd w:val="clear" w:color="auto" w:fill="FFFFFF"/>
              </w:rPr>
              <w:t xml:space="preserve">Council Directive (EU) 2020/284 of 18 February 2020 amending Directive 2006/112/EC as regards introducing certain requirements for payment service providers will be trasposed at a new law oin albania. </w:t>
            </w:r>
          </w:p>
          <w:p w14:paraId="5D358587" w14:textId="77777777" w:rsidR="00E7109E" w:rsidRPr="00AC21F0" w:rsidRDefault="00E7109E" w:rsidP="006A0740">
            <w:pPr>
              <w:spacing w:line="240" w:lineRule="atLeast"/>
              <w:jc w:val="both"/>
              <w:rPr>
                <w:rFonts w:ascii="Times New Roman" w:hAnsi="Times New Roman" w:cs="Times New Roman"/>
                <w:color w:val="333333"/>
                <w:sz w:val="20"/>
                <w:szCs w:val="20"/>
                <w:shd w:val="clear" w:color="auto" w:fill="FFFFFF"/>
              </w:rPr>
            </w:pPr>
          </w:p>
          <w:p w14:paraId="196547CE" w14:textId="5587DBFA" w:rsidR="00E7109E" w:rsidRPr="00AC21F0" w:rsidRDefault="008C4514" w:rsidP="006A0740">
            <w:pPr>
              <w:spacing w:line="240" w:lineRule="atLeast"/>
              <w:jc w:val="both"/>
              <w:rPr>
                <w:rFonts w:ascii="Times New Roman" w:eastAsia="Times New Roman" w:hAnsi="Times New Roman" w:cs="Times New Roman"/>
                <w:sz w:val="20"/>
                <w:szCs w:val="20"/>
              </w:rPr>
            </w:pPr>
            <w:r w:rsidRPr="00AC21F0">
              <w:rPr>
                <w:rFonts w:ascii="Times New Roman" w:hAnsi="Times New Roman" w:cs="Times New Roman"/>
                <w:color w:val="333333"/>
                <w:sz w:val="20"/>
                <w:szCs w:val="20"/>
                <w:shd w:val="clear" w:color="auto" w:fill="FFFFFF"/>
              </w:rPr>
              <w:lastRenderedPageBreak/>
              <w:t>The articl</w:t>
            </w:r>
            <w:r w:rsidR="00E7109E" w:rsidRPr="00AC21F0">
              <w:rPr>
                <w:rFonts w:ascii="Times New Roman" w:hAnsi="Times New Roman" w:cs="Times New Roman"/>
                <w:color w:val="333333"/>
                <w:sz w:val="20"/>
                <w:szCs w:val="20"/>
                <w:shd w:val="clear" w:color="auto" w:fill="FFFFFF"/>
              </w:rPr>
              <w:t>e</w:t>
            </w:r>
            <w:r w:rsidRPr="00AC21F0">
              <w:rPr>
                <w:rFonts w:ascii="Times New Roman" w:hAnsi="Times New Roman" w:cs="Times New Roman"/>
                <w:color w:val="333333"/>
                <w:sz w:val="20"/>
                <w:szCs w:val="20"/>
                <w:shd w:val="clear" w:color="auto" w:fill="FFFFFF"/>
              </w:rPr>
              <w:t xml:space="preserve"> 1 </w:t>
            </w:r>
            <w:r w:rsidR="00417273" w:rsidRPr="00AC21F0">
              <w:rPr>
                <w:rFonts w:ascii="Times New Roman" w:hAnsi="Times New Roman" w:cs="Times New Roman"/>
                <w:color w:val="333333"/>
                <w:sz w:val="20"/>
                <w:szCs w:val="20"/>
                <w:shd w:val="clear" w:color="auto" w:fill="FFFFFF"/>
              </w:rPr>
              <w:t>”</w:t>
            </w:r>
            <w:r w:rsidRPr="00AC21F0">
              <w:rPr>
                <w:rFonts w:ascii="Times New Roman" w:hAnsi="Times New Roman" w:cs="Times New Roman"/>
                <w:color w:val="333333"/>
                <w:sz w:val="20"/>
                <w:szCs w:val="20"/>
                <w:shd w:val="clear" w:color="auto" w:fill="FFFFFF"/>
              </w:rPr>
              <w:t>Subject matter” of the dra</w:t>
            </w:r>
            <w:r w:rsidR="00417273" w:rsidRPr="00AC21F0">
              <w:rPr>
                <w:rFonts w:ascii="Times New Roman" w:hAnsi="Times New Roman" w:cs="Times New Roman"/>
                <w:color w:val="333333"/>
                <w:sz w:val="20"/>
                <w:szCs w:val="20"/>
                <w:shd w:val="clear" w:color="auto" w:fill="FFFFFF"/>
              </w:rPr>
              <w:t>f</w:t>
            </w:r>
            <w:r w:rsidRPr="00AC21F0">
              <w:rPr>
                <w:rFonts w:ascii="Times New Roman" w:hAnsi="Times New Roman" w:cs="Times New Roman"/>
                <w:color w:val="333333"/>
                <w:sz w:val="20"/>
                <w:szCs w:val="20"/>
                <w:shd w:val="clear" w:color="auto" w:fill="FFFFFF"/>
              </w:rPr>
              <w:t xml:space="preserve">t new law </w:t>
            </w:r>
            <w:r w:rsidR="00417273" w:rsidRPr="00AC21F0">
              <w:rPr>
                <w:rFonts w:ascii="Times New Roman" w:hAnsi="Times New Roman" w:cs="Times New Roman"/>
                <w:color w:val="333333"/>
                <w:sz w:val="20"/>
                <w:szCs w:val="20"/>
                <w:shd w:val="clear" w:color="auto" w:fill="FFFFFF"/>
              </w:rPr>
              <w:t>is</w:t>
            </w:r>
            <w:r w:rsidRPr="00AC21F0">
              <w:rPr>
                <w:rFonts w:ascii="Times New Roman" w:hAnsi="Times New Roman" w:cs="Times New Roman"/>
                <w:color w:val="333333"/>
                <w:sz w:val="20"/>
                <w:szCs w:val="20"/>
                <w:shd w:val="clear" w:color="auto" w:fill="FFFFFF"/>
              </w:rPr>
              <w:t xml:space="preserve"> f</w:t>
            </w:r>
            <w:r w:rsidR="00417273" w:rsidRPr="00AC21F0">
              <w:rPr>
                <w:rFonts w:ascii="Times New Roman" w:hAnsi="Times New Roman" w:cs="Times New Roman"/>
                <w:color w:val="333333"/>
                <w:sz w:val="20"/>
                <w:szCs w:val="20"/>
                <w:shd w:val="clear" w:color="auto" w:fill="FFFFFF"/>
              </w:rPr>
              <w:t>u</w:t>
            </w:r>
            <w:r w:rsidRPr="00AC21F0">
              <w:rPr>
                <w:rFonts w:ascii="Times New Roman" w:hAnsi="Times New Roman" w:cs="Times New Roman"/>
                <w:color w:val="333333"/>
                <w:sz w:val="20"/>
                <w:szCs w:val="20"/>
                <w:shd w:val="clear" w:color="auto" w:fill="FFFFFF"/>
              </w:rPr>
              <w:t>lly in line with Preambule of the Directive</w:t>
            </w:r>
            <w:r w:rsidR="00417273" w:rsidRPr="00AC21F0">
              <w:rPr>
                <w:rFonts w:ascii="Times New Roman" w:hAnsi="Times New Roman" w:cs="Times New Roman"/>
                <w:color w:val="333333"/>
                <w:sz w:val="20"/>
                <w:szCs w:val="20"/>
                <w:shd w:val="clear" w:color="auto" w:fill="FFFFFF"/>
              </w:rPr>
              <w:t>,</w:t>
            </w:r>
            <w:r w:rsidR="0077636B" w:rsidRPr="00AC21F0">
              <w:rPr>
                <w:rFonts w:ascii="Times New Roman" w:eastAsia="Times New Roman" w:hAnsi="Times New Roman" w:cs="Times New Roman"/>
                <w:sz w:val="20"/>
                <w:szCs w:val="20"/>
              </w:rPr>
              <w:t xml:space="preserve">with Articles 243a–243d </w:t>
            </w:r>
            <w:r w:rsidR="00417273" w:rsidRPr="00AC21F0">
              <w:rPr>
                <w:rFonts w:ascii="Times New Roman" w:eastAsia="Times New Roman" w:hAnsi="Times New Roman" w:cs="Times New Roman"/>
                <w:sz w:val="20"/>
                <w:szCs w:val="20"/>
              </w:rPr>
              <w:t xml:space="preserve">. </w:t>
            </w:r>
          </w:p>
          <w:p w14:paraId="4FE796B0" w14:textId="77777777" w:rsidR="00E7109E" w:rsidRPr="00AC21F0" w:rsidRDefault="00E7109E" w:rsidP="006A0740">
            <w:pPr>
              <w:spacing w:line="240" w:lineRule="atLeast"/>
              <w:jc w:val="both"/>
              <w:rPr>
                <w:rFonts w:ascii="Times New Roman" w:eastAsia="Times New Roman" w:hAnsi="Times New Roman" w:cs="Times New Roman"/>
                <w:sz w:val="20"/>
                <w:szCs w:val="20"/>
              </w:rPr>
            </w:pPr>
          </w:p>
          <w:p w14:paraId="03521802" w14:textId="1B9343F8" w:rsidR="000A7EA3" w:rsidRPr="00AC21F0" w:rsidRDefault="00417273" w:rsidP="006A0740">
            <w:pPr>
              <w:spacing w:line="240" w:lineRule="atLeast"/>
              <w:jc w:val="both"/>
              <w:rPr>
                <w:rFonts w:ascii="Times New Roman" w:hAnsi="Times New Roman" w:cs="Times New Roman"/>
                <w:color w:val="333333"/>
                <w:sz w:val="20"/>
                <w:szCs w:val="20"/>
                <w:shd w:val="clear" w:color="auto" w:fill="FFFFFF"/>
              </w:rPr>
            </w:pPr>
            <w:r w:rsidRPr="00AC21F0">
              <w:rPr>
                <w:rFonts w:ascii="Times New Roman" w:eastAsia="Times New Roman" w:hAnsi="Times New Roman" w:cs="Times New Roman"/>
                <w:sz w:val="20"/>
                <w:szCs w:val="20"/>
              </w:rPr>
              <w:t>I</w:t>
            </w:r>
            <w:r w:rsidR="0077636B" w:rsidRPr="00AC21F0">
              <w:rPr>
                <w:rFonts w:ascii="Times New Roman" w:eastAsia="Times New Roman" w:hAnsi="Times New Roman" w:cs="Times New Roman"/>
                <w:sz w:val="20"/>
                <w:szCs w:val="20"/>
              </w:rPr>
              <w:t xml:space="preserve">t defines the subject matter of the law in accordance with the purpose of </w:t>
            </w:r>
            <w:r w:rsidRPr="00AC21F0">
              <w:rPr>
                <w:rFonts w:ascii="Times New Roman" w:hAnsi="Times New Roman" w:cs="Times New Roman"/>
                <w:sz w:val="20"/>
                <w:szCs w:val="20"/>
              </w:rPr>
              <w:t>establish rules for payment service providers to collect and report to the tax administration data on cross-border payments, as well as to transmit them to the Electronic System of Information on Cross-Border Payments (CESOP</w:t>
            </w:r>
          </w:p>
        </w:tc>
      </w:tr>
      <w:tr w:rsidR="003C045B" w:rsidRPr="00AC21F0" w14:paraId="6F796DB6" w14:textId="77777777" w:rsidTr="004738EE">
        <w:trPr>
          <w:trHeight w:val="278"/>
        </w:trPr>
        <w:tc>
          <w:tcPr>
            <w:tcW w:w="540" w:type="dxa"/>
            <w:shd w:val="clear" w:color="auto" w:fill="F2F2F2"/>
          </w:tcPr>
          <w:p w14:paraId="78A89E6F" w14:textId="77777777" w:rsidR="003C045B" w:rsidRPr="00AC21F0" w:rsidRDefault="003C045B" w:rsidP="006A0740">
            <w:pPr>
              <w:spacing w:line="240" w:lineRule="atLeast"/>
              <w:jc w:val="center"/>
              <w:rPr>
                <w:rFonts w:ascii="Times New Roman" w:eastAsia="Calibri" w:hAnsi="Times New Roman" w:cs="Times New Roman"/>
                <w:i/>
                <w:sz w:val="20"/>
                <w:szCs w:val="20"/>
              </w:rPr>
            </w:pPr>
          </w:p>
        </w:tc>
        <w:tc>
          <w:tcPr>
            <w:tcW w:w="5400" w:type="dxa"/>
            <w:shd w:val="clear" w:color="auto" w:fill="F2F2F2"/>
          </w:tcPr>
          <w:p w14:paraId="77D30394" w14:textId="02F512A8" w:rsidR="003C045B" w:rsidRPr="00AC21F0" w:rsidRDefault="003C045B" w:rsidP="006A0740">
            <w:pPr>
              <w:spacing w:line="240" w:lineRule="atLeast"/>
              <w:rPr>
                <w:rFonts w:ascii="Times New Roman" w:hAnsi="Times New Roman" w:cs="Times New Roman"/>
                <w:i/>
                <w:sz w:val="20"/>
                <w:szCs w:val="20"/>
              </w:rPr>
            </w:pPr>
            <w:r w:rsidRPr="00AC21F0">
              <w:rPr>
                <w:rFonts w:ascii="Times New Roman" w:hAnsi="Times New Roman" w:cs="Times New Roman"/>
                <w:sz w:val="20"/>
                <w:szCs w:val="20"/>
              </w:rPr>
              <w:t>Preambula</w:t>
            </w:r>
          </w:p>
        </w:tc>
        <w:tc>
          <w:tcPr>
            <w:tcW w:w="450" w:type="dxa"/>
          </w:tcPr>
          <w:p w14:paraId="753D3D53" w14:textId="77777777" w:rsidR="003C045B" w:rsidRPr="00AC21F0" w:rsidRDefault="003C045B" w:rsidP="006A0740">
            <w:pPr>
              <w:spacing w:line="240" w:lineRule="atLeast"/>
              <w:jc w:val="center"/>
              <w:rPr>
                <w:rFonts w:ascii="Times New Roman" w:eastAsia="Calibri" w:hAnsi="Times New Roman" w:cs="Times New Roman"/>
                <w:i/>
                <w:sz w:val="20"/>
                <w:szCs w:val="20"/>
              </w:rPr>
            </w:pPr>
          </w:p>
        </w:tc>
        <w:tc>
          <w:tcPr>
            <w:tcW w:w="644" w:type="dxa"/>
            <w:shd w:val="clear" w:color="auto" w:fill="F2F2F2"/>
          </w:tcPr>
          <w:p w14:paraId="49667D08" w14:textId="77777777" w:rsidR="003C045B" w:rsidRPr="00AC21F0" w:rsidRDefault="003C045B" w:rsidP="006A0740">
            <w:pPr>
              <w:spacing w:line="240" w:lineRule="atLeast"/>
              <w:jc w:val="center"/>
              <w:rPr>
                <w:rFonts w:ascii="Times New Roman" w:eastAsia="Calibri" w:hAnsi="Times New Roman" w:cs="Times New Roman"/>
                <w:i/>
                <w:sz w:val="20"/>
                <w:szCs w:val="20"/>
              </w:rPr>
            </w:pPr>
          </w:p>
        </w:tc>
        <w:tc>
          <w:tcPr>
            <w:tcW w:w="5040" w:type="dxa"/>
            <w:shd w:val="clear" w:color="auto" w:fill="F2F2F2"/>
          </w:tcPr>
          <w:p w14:paraId="5C32B483" w14:textId="77777777" w:rsidR="00201DBB" w:rsidRPr="00AC21F0" w:rsidRDefault="00201DBB" w:rsidP="006A0740">
            <w:pPr>
              <w:spacing w:line="240" w:lineRule="atLeast"/>
              <w:jc w:val="center"/>
              <w:rPr>
                <w:rFonts w:ascii="Times New Roman" w:hAnsi="Times New Roman" w:cs="Times New Roman"/>
                <w:b/>
                <w:bCs/>
                <w:sz w:val="20"/>
                <w:szCs w:val="20"/>
                <w:lang w:val="it-CH"/>
              </w:rPr>
            </w:pPr>
            <w:r w:rsidRPr="00AC21F0">
              <w:rPr>
                <w:rFonts w:ascii="Times New Roman" w:hAnsi="Times New Roman" w:cs="Times New Roman"/>
                <w:b/>
                <w:bCs/>
                <w:sz w:val="20"/>
                <w:szCs w:val="20"/>
                <w:lang w:val="it-CH"/>
              </w:rPr>
              <w:t xml:space="preserve">Article 2 </w:t>
            </w:r>
          </w:p>
          <w:p w14:paraId="2043F563" w14:textId="77777777" w:rsidR="00201DBB" w:rsidRPr="00AC21F0" w:rsidRDefault="00201DBB" w:rsidP="006A0740">
            <w:pPr>
              <w:spacing w:line="240" w:lineRule="atLeast"/>
              <w:jc w:val="center"/>
              <w:rPr>
                <w:rFonts w:ascii="Times New Roman" w:hAnsi="Times New Roman" w:cs="Times New Roman"/>
                <w:b/>
                <w:bCs/>
                <w:sz w:val="20"/>
                <w:szCs w:val="20"/>
                <w:lang w:val="it-CH"/>
              </w:rPr>
            </w:pPr>
            <w:r w:rsidRPr="00AC21F0">
              <w:rPr>
                <w:rFonts w:ascii="Times New Roman" w:hAnsi="Times New Roman" w:cs="Times New Roman"/>
                <w:b/>
                <w:bCs/>
                <w:sz w:val="20"/>
                <w:szCs w:val="20"/>
                <w:lang w:val="it-CH"/>
              </w:rPr>
              <w:t>Purpose</w:t>
            </w:r>
          </w:p>
          <w:p w14:paraId="7BD77AB0" w14:textId="405B08BE" w:rsidR="003C045B" w:rsidRPr="00AC21F0" w:rsidRDefault="003C045B" w:rsidP="006A0740">
            <w:pPr>
              <w:spacing w:line="240" w:lineRule="atLeast"/>
              <w:jc w:val="center"/>
              <w:rPr>
                <w:rFonts w:ascii="Times New Roman" w:hAnsi="Times New Roman" w:cs="Times New Roman"/>
                <w:i/>
                <w:sz w:val="20"/>
                <w:szCs w:val="20"/>
              </w:rPr>
            </w:pPr>
          </w:p>
        </w:tc>
        <w:tc>
          <w:tcPr>
            <w:tcW w:w="720" w:type="dxa"/>
            <w:shd w:val="clear" w:color="auto" w:fill="F2F2F2"/>
          </w:tcPr>
          <w:p w14:paraId="148AA987" w14:textId="77777777" w:rsidR="003C045B" w:rsidRPr="00AC21F0" w:rsidRDefault="003C045B" w:rsidP="006A0740">
            <w:pPr>
              <w:spacing w:line="240" w:lineRule="atLeast"/>
              <w:jc w:val="center"/>
              <w:rPr>
                <w:rFonts w:ascii="Times New Roman" w:eastAsia="Calibri" w:hAnsi="Times New Roman" w:cs="Times New Roman"/>
                <w:i/>
                <w:sz w:val="20"/>
                <w:szCs w:val="20"/>
              </w:rPr>
            </w:pPr>
          </w:p>
        </w:tc>
        <w:tc>
          <w:tcPr>
            <w:tcW w:w="3510" w:type="dxa"/>
            <w:shd w:val="clear" w:color="auto" w:fill="F2F2F2"/>
          </w:tcPr>
          <w:p w14:paraId="26964FA0" w14:textId="77777777" w:rsidR="003C045B" w:rsidRPr="00AC21F0" w:rsidRDefault="003C045B" w:rsidP="006A0740">
            <w:pPr>
              <w:spacing w:line="240" w:lineRule="atLeast"/>
              <w:rPr>
                <w:rFonts w:ascii="Times New Roman" w:eastAsia="Calibri" w:hAnsi="Times New Roman" w:cs="Times New Roman"/>
                <w:i/>
                <w:sz w:val="20"/>
                <w:szCs w:val="20"/>
              </w:rPr>
            </w:pPr>
          </w:p>
        </w:tc>
      </w:tr>
      <w:tr w:rsidR="003C045B" w:rsidRPr="00AC21F0" w14:paraId="54545BFE" w14:textId="77777777" w:rsidTr="00990A3C">
        <w:trPr>
          <w:trHeight w:val="1718"/>
        </w:trPr>
        <w:tc>
          <w:tcPr>
            <w:tcW w:w="540" w:type="dxa"/>
            <w:shd w:val="clear" w:color="auto" w:fill="F2F2F2"/>
          </w:tcPr>
          <w:p w14:paraId="2072CEFD" w14:textId="77777777" w:rsidR="003C045B" w:rsidRPr="00AC21F0" w:rsidRDefault="003C045B" w:rsidP="006A0740">
            <w:pPr>
              <w:spacing w:line="240" w:lineRule="atLeast"/>
              <w:jc w:val="center"/>
              <w:rPr>
                <w:rFonts w:ascii="Times New Roman" w:eastAsia="Calibri" w:hAnsi="Times New Roman" w:cs="Times New Roman"/>
                <w:i/>
                <w:sz w:val="20"/>
                <w:szCs w:val="20"/>
              </w:rPr>
            </w:pPr>
          </w:p>
        </w:tc>
        <w:tc>
          <w:tcPr>
            <w:tcW w:w="5400" w:type="dxa"/>
            <w:shd w:val="clear" w:color="auto" w:fill="FFFFFF" w:themeFill="background1"/>
          </w:tcPr>
          <w:p w14:paraId="0ED9686A" w14:textId="4A1D1AC6" w:rsidR="003C045B" w:rsidRPr="00AC21F0" w:rsidRDefault="003C045B" w:rsidP="006A0740">
            <w:pPr>
              <w:pStyle w:val="Heading2"/>
              <w:spacing w:line="240" w:lineRule="atLeast"/>
              <w:rPr>
                <w:rFonts w:ascii="Times New Roman" w:eastAsia="Times New Roman" w:hAnsi="Times New Roman" w:cs="Times New Roman"/>
                <w:color w:val="auto"/>
                <w:sz w:val="20"/>
                <w:szCs w:val="20"/>
              </w:rPr>
            </w:pPr>
            <w:r w:rsidRPr="00AC21F0">
              <w:rPr>
                <w:rFonts w:ascii="Times New Roman" w:eastAsia="Times New Roman" w:hAnsi="Times New Roman" w:cs="Times New Roman"/>
                <w:color w:val="auto"/>
                <w:sz w:val="20"/>
                <w:szCs w:val="20"/>
              </w:rPr>
              <w:t xml:space="preserve">Preambula of Directive (EU) 2020/284 </w:t>
            </w:r>
          </w:p>
          <w:p w14:paraId="45875286" w14:textId="77777777" w:rsidR="003C045B" w:rsidRPr="00AC21F0" w:rsidRDefault="003C045B" w:rsidP="006A0740">
            <w:pPr>
              <w:pStyle w:val="oj-ti-grseq-1"/>
              <w:shd w:val="clear" w:color="auto" w:fill="FFFFFF"/>
              <w:spacing w:before="240" w:beforeAutospacing="0" w:after="120" w:afterAutospacing="0" w:line="240" w:lineRule="atLeast"/>
              <w:jc w:val="both"/>
              <w:rPr>
                <w:color w:val="333333"/>
                <w:sz w:val="20"/>
                <w:szCs w:val="20"/>
              </w:rPr>
            </w:pPr>
          </w:p>
          <w:p w14:paraId="6F7B7ABA" w14:textId="77777777" w:rsidR="003C045B" w:rsidRPr="00AC21F0" w:rsidRDefault="003C045B" w:rsidP="006A0740">
            <w:pPr>
              <w:pStyle w:val="Heading2"/>
              <w:spacing w:line="240" w:lineRule="atLeast"/>
              <w:rPr>
                <w:rFonts w:ascii="Times New Roman" w:eastAsia="Calibri" w:hAnsi="Times New Roman" w:cs="Times New Roman"/>
                <w:iCs/>
                <w:color w:val="auto"/>
                <w:sz w:val="20"/>
                <w:szCs w:val="20"/>
                <w:lang w:val="en-US"/>
              </w:rPr>
            </w:pPr>
          </w:p>
        </w:tc>
        <w:tc>
          <w:tcPr>
            <w:tcW w:w="450" w:type="dxa"/>
            <w:shd w:val="clear" w:color="auto" w:fill="FFFFFF" w:themeFill="background1"/>
          </w:tcPr>
          <w:p w14:paraId="6F2021F6" w14:textId="77777777" w:rsidR="003C045B" w:rsidRPr="00AC21F0" w:rsidRDefault="003C045B" w:rsidP="006A0740">
            <w:pPr>
              <w:spacing w:line="240" w:lineRule="atLeast"/>
              <w:jc w:val="center"/>
              <w:rPr>
                <w:rFonts w:ascii="Times New Roman" w:eastAsia="Calibri" w:hAnsi="Times New Roman" w:cs="Times New Roman"/>
                <w:sz w:val="20"/>
                <w:szCs w:val="20"/>
              </w:rPr>
            </w:pPr>
          </w:p>
        </w:tc>
        <w:tc>
          <w:tcPr>
            <w:tcW w:w="644" w:type="dxa"/>
            <w:shd w:val="clear" w:color="auto" w:fill="FFFFFF" w:themeFill="background1"/>
          </w:tcPr>
          <w:p w14:paraId="3EC3C5E4" w14:textId="77777777" w:rsidR="003C045B" w:rsidRPr="00AC21F0" w:rsidRDefault="003C045B" w:rsidP="006A0740">
            <w:pPr>
              <w:spacing w:line="240" w:lineRule="atLeast"/>
              <w:jc w:val="center"/>
              <w:rPr>
                <w:rFonts w:ascii="Times New Roman" w:eastAsia="Calibri" w:hAnsi="Times New Roman" w:cs="Times New Roman"/>
                <w:sz w:val="20"/>
                <w:szCs w:val="20"/>
              </w:rPr>
            </w:pPr>
          </w:p>
        </w:tc>
        <w:tc>
          <w:tcPr>
            <w:tcW w:w="5040" w:type="dxa"/>
            <w:shd w:val="clear" w:color="auto" w:fill="FFFFFF" w:themeFill="background1"/>
          </w:tcPr>
          <w:p w14:paraId="7CC62494" w14:textId="77777777" w:rsidR="00201DBB" w:rsidRPr="00AC21F0" w:rsidRDefault="00201DBB" w:rsidP="006A0740">
            <w:pPr>
              <w:spacing w:line="240" w:lineRule="atLeast"/>
              <w:jc w:val="both"/>
              <w:rPr>
                <w:rFonts w:ascii="Times New Roman" w:hAnsi="Times New Roman" w:cs="Times New Roman"/>
                <w:sz w:val="20"/>
                <w:szCs w:val="20"/>
              </w:rPr>
            </w:pPr>
          </w:p>
          <w:p w14:paraId="4A15A12A" w14:textId="7C1F7B30" w:rsidR="00201DBB" w:rsidRPr="00AC21F0" w:rsidRDefault="00201DBB" w:rsidP="006A0740">
            <w:pPr>
              <w:spacing w:line="240" w:lineRule="atLeast"/>
              <w:jc w:val="both"/>
              <w:rPr>
                <w:rFonts w:ascii="Times New Roman" w:hAnsi="Times New Roman" w:cs="Times New Roman"/>
                <w:sz w:val="20"/>
                <w:szCs w:val="20"/>
              </w:rPr>
            </w:pPr>
            <w:r w:rsidRPr="00AC21F0">
              <w:rPr>
                <w:rFonts w:ascii="Times New Roman" w:hAnsi="Times New Roman" w:cs="Times New Roman"/>
                <w:sz w:val="20"/>
                <w:szCs w:val="20"/>
              </w:rPr>
              <w:t>The purpose of this Law is to ensure the collection, administration</w:t>
            </w:r>
            <w:r w:rsidR="00BF1CFB" w:rsidRPr="00AC21F0">
              <w:rPr>
                <w:rFonts w:ascii="Times New Roman" w:hAnsi="Times New Roman" w:cs="Times New Roman"/>
                <w:sz w:val="20"/>
                <w:szCs w:val="20"/>
              </w:rPr>
              <w:t>,</w:t>
            </w:r>
            <w:r w:rsidRPr="00AC21F0">
              <w:rPr>
                <w:rFonts w:ascii="Times New Roman" w:hAnsi="Times New Roman" w:cs="Times New Roman"/>
                <w:sz w:val="20"/>
                <w:szCs w:val="20"/>
              </w:rPr>
              <w:t xml:space="preserve"> </w:t>
            </w:r>
            <w:r w:rsidR="00BF1CFB" w:rsidRPr="00AC21F0">
              <w:rPr>
                <w:rFonts w:ascii="Times New Roman" w:hAnsi="Times New Roman" w:cs="Times New Roman"/>
                <w:sz w:val="20"/>
                <w:szCs w:val="20"/>
              </w:rPr>
              <w:t xml:space="preserve">processing, exchange </w:t>
            </w:r>
            <w:r w:rsidRPr="00AC21F0">
              <w:rPr>
                <w:rFonts w:ascii="Times New Roman" w:hAnsi="Times New Roman" w:cs="Times New Roman"/>
                <w:sz w:val="20"/>
                <w:szCs w:val="20"/>
              </w:rPr>
              <w:t>and reporting of data on cross-border payments, in order to enable:</w:t>
            </w:r>
          </w:p>
          <w:p w14:paraId="3AD4ABC3" w14:textId="77777777" w:rsidR="00201DBB" w:rsidRPr="00AC21F0" w:rsidRDefault="00201DBB" w:rsidP="006A0740">
            <w:pPr>
              <w:spacing w:line="240" w:lineRule="atLeast"/>
              <w:jc w:val="both"/>
              <w:rPr>
                <w:rFonts w:ascii="Times New Roman" w:hAnsi="Times New Roman" w:cs="Times New Roman"/>
                <w:sz w:val="20"/>
                <w:szCs w:val="20"/>
              </w:rPr>
            </w:pPr>
          </w:p>
          <w:p w14:paraId="0BCE3A13" w14:textId="77777777" w:rsidR="00201DBB" w:rsidRPr="00AC21F0" w:rsidRDefault="00201DBB" w:rsidP="006A0740">
            <w:pPr>
              <w:spacing w:line="240" w:lineRule="atLeast"/>
              <w:jc w:val="both"/>
              <w:rPr>
                <w:rFonts w:ascii="Times New Roman" w:hAnsi="Times New Roman" w:cs="Times New Roman"/>
                <w:sz w:val="20"/>
                <w:szCs w:val="20"/>
              </w:rPr>
            </w:pPr>
            <w:r w:rsidRPr="00AC21F0">
              <w:rPr>
                <w:rFonts w:ascii="Times New Roman" w:hAnsi="Times New Roman" w:cs="Times New Roman"/>
                <w:sz w:val="20"/>
                <w:szCs w:val="20"/>
              </w:rPr>
              <w:t>a) the prevention of and fight against fraud related to Value-Added Tax (VAT) in cross-border transactions;</w:t>
            </w:r>
          </w:p>
          <w:p w14:paraId="0196A367" w14:textId="77777777" w:rsidR="00201DBB" w:rsidRPr="00AC21F0" w:rsidRDefault="00201DBB" w:rsidP="006A0740">
            <w:pPr>
              <w:spacing w:line="240" w:lineRule="atLeast"/>
              <w:jc w:val="both"/>
              <w:rPr>
                <w:rFonts w:ascii="Times New Roman" w:hAnsi="Times New Roman" w:cs="Times New Roman"/>
                <w:sz w:val="20"/>
                <w:szCs w:val="20"/>
              </w:rPr>
            </w:pPr>
          </w:p>
          <w:p w14:paraId="778B887A" w14:textId="56147026" w:rsidR="003C045B" w:rsidRPr="00AC21F0" w:rsidRDefault="00201DBB" w:rsidP="006A0740">
            <w:pPr>
              <w:spacing w:line="240" w:lineRule="atLeast"/>
              <w:jc w:val="both"/>
              <w:rPr>
                <w:rFonts w:ascii="Times New Roman" w:hAnsi="Times New Roman" w:cs="Times New Roman"/>
                <w:sz w:val="20"/>
                <w:szCs w:val="20"/>
              </w:rPr>
            </w:pPr>
            <w:r w:rsidRPr="00AC21F0">
              <w:rPr>
                <w:rFonts w:ascii="Times New Roman" w:hAnsi="Times New Roman" w:cs="Times New Roman"/>
                <w:sz w:val="20"/>
                <w:szCs w:val="20"/>
              </w:rPr>
              <w:t xml:space="preserve">b) the exchange of information with the Central Electronic System of Information on Cross-Border Payments (CESOP).  </w:t>
            </w:r>
          </w:p>
        </w:tc>
        <w:tc>
          <w:tcPr>
            <w:tcW w:w="720" w:type="dxa"/>
            <w:shd w:val="clear" w:color="auto" w:fill="FFFFFF" w:themeFill="background1"/>
          </w:tcPr>
          <w:p w14:paraId="3EFFA98E" w14:textId="08E91922" w:rsidR="003C045B" w:rsidRPr="00AC21F0" w:rsidRDefault="003C045B" w:rsidP="006A0740">
            <w:pPr>
              <w:spacing w:line="240" w:lineRule="atLeast"/>
              <w:jc w:val="center"/>
              <w:rPr>
                <w:rFonts w:ascii="Times New Roman" w:eastAsia="Calibri" w:hAnsi="Times New Roman" w:cs="Times New Roman"/>
                <w:sz w:val="20"/>
                <w:szCs w:val="20"/>
              </w:rPr>
            </w:pPr>
            <w:r w:rsidRPr="00AC21F0">
              <w:rPr>
                <w:rFonts w:ascii="Times New Roman" w:eastAsia="Calibri" w:hAnsi="Times New Roman" w:cs="Times New Roman"/>
                <w:sz w:val="20"/>
                <w:szCs w:val="20"/>
                <w:lang w:val="en-US"/>
              </w:rPr>
              <w:t>F</w:t>
            </w:r>
          </w:p>
        </w:tc>
        <w:tc>
          <w:tcPr>
            <w:tcW w:w="3510" w:type="dxa"/>
            <w:shd w:val="clear" w:color="auto" w:fill="FFFFFF" w:themeFill="background1"/>
          </w:tcPr>
          <w:p w14:paraId="20FEF4A2" w14:textId="77777777" w:rsidR="00417273" w:rsidRPr="00AC21F0" w:rsidRDefault="003C045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 xml:space="preserve">The provision is fully compatible with the objectives of Article 243a of Directive 2006/112/EC, as it sets out the purpose of collecting, administering, and reporting data on cross-border payments for the prevention of fraud related to VAT and for facilitating the exchange of information with the EU central system (CESOP). </w:t>
            </w:r>
          </w:p>
          <w:p w14:paraId="47769322" w14:textId="77777777" w:rsidR="00417273" w:rsidRPr="00AC21F0" w:rsidRDefault="00417273" w:rsidP="006A0740">
            <w:pPr>
              <w:spacing w:line="240" w:lineRule="atLeast"/>
              <w:jc w:val="both"/>
              <w:rPr>
                <w:rFonts w:ascii="Times New Roman" w:eastAsia="Times New Roman" w:hAnsi="Times New Roman" w:cs="Times New Roman"/>
                <w:sz w:val="20"/>
                <w:szCs w:val="20"/>
              </w:rPr>
            </w:pPr>
          </w:p>
          <w:p w14:paraId="71188287" w14:textId="02DF3165" w:rsidR="003C045B" w:rsidRPr="00AC21F0" w:rsidRDefault="003C045B" w:rsidP="006A0740">
            <w:pPr>
              <w:spacing w:line="240" w:lineRule="atLeast"/>
              <w:jc w:val="both"/>
              <w:rPr>
                <w:rFonts w:ascii="Times New Roman" w:eastAsia="Calibri" w:hAnsi="Times New Roman" w:cs="Times New Roman"/>
                <w:sz w:val="20"/>
                <w:szCs w:val="20"/>
              </w:rPr>
            </w:pPr>
            <w:r w:rsidRPr="00AC21F0">
              <w:rPr>
                <w:rFonts w:ascii="Times New Roman" w:eastAsia="Times New Roman" w:hAnsi="Times New Roman" w:cs="Times New Roman"/>
                <w:sz w:val="20"/>
                <w:szCs w:val="20"/>
              </w:rPr>
              <w:t>The main elements of the article of the draft law (collection, administration, reporting, and inter-institutional cooperation) are fully aligned with the functions envisaged by the directive for this system</w:t>
            </w:r>
          </w:p>
        </w:tc>
      </w:tr>
      <w:tr w:rsidR="003C045B" w:rsidRPr="00AC21F0" w14:paraId="0EC2C01A" w14:textId="77777777" w:rsidTr="004738EE">
        <w:tc>
          <w:tcPr>
            <w:tcW w:w="540" w:type="dxa"/>
            <w:shd w:val="clear" w:color="auto" w:fill="F2F2F2"/>
          </w:tcPr>
          <w:p w14:paraId="7C818E7C" w14:textId="77777777" w:rsidR="003C045B" w:rsidRPr="00AC21F0" w:rsidRDefault="003C045B" w:rsidP="006A0740">
            <w:pPr>
              <w:spacing w:line="240" w:lineRule="atLeast"/>
              <w:jc w:val="center"/>
              <w:rPr>
                <w:rFonts w:ascii="Times New Roman" w:eastAsia="Calibri" w:hAnsi="Times New Roman" w:cs="Times New Roman"/>
                <w:i/>
                <w:sz w:val="20"/>
                <w:szCs w:val="20"/>
                <w:lang w:val="en-US"/>
              </w:rPr>
            </w:pPr>
          </w:p>
        </w:tc>
        <w:tc>
          <w:tcPr>
            <w:tcW w:w="5400" w:type="dxa"/>
            <w:shd w:val="clear" w:color="auto" w:fill="F2F2F2"/>
          </w:tcPr>
          <w:p w14:paraId="11441992" w14:textId="6DE11EE1" w:rsidR="003C045B" w:rsidRPr="00AC21F0" w:rsidRDefault="003C045B" w:rsidP="006A0740">
            <w:pPr>
              <w:pStyle w:val="Heading2"/>
              <w:spacing w:line="240" w:lineRule="atLeast"/>
              <w:rPr>
                <w:rFonts w:ascii="Times New Roman" w:eastAsia="Calibri" w:hAnsi="Times New Roman" w:cs="Times New Roman"/>
                <w:i/>
                <w:color w:val="auto"/>
                <w:sz w:val="20"/>
                <w:szCs w:val="20"/>
                <w:lang w:val="en-US"/>
              </w:rPr>
            </w:pPr>
          </w:p>
        </w:tc>
        <w:tc>
          <w:tcPr>
            <w:tcW w:w="450" w:type="dxa"/>
          </w:tcPr>
          <w:p w14:paraId="35014AD7" w14:textId="77777777" w:rsidR="003C045B" w:rsidRPr="00AC21F0" w:rsidRDefault="003C045B" w:rsidP="006A0740">
            <w:pPr>
              <w:spacing w:line="240" w:lineRule="atLeast"/>
              <w:jc w:val="center"/>
              <w:rPr>
                <w:rFonts w:ascii="Times New Roman" w:eastAsia="Calibri" w:hAnsi="Times New Roman" w:cs="Times New Roman"/>
                <w:i/>
                <w:sz w:val="20"/>
                <w:szCs w:val="20"/>
              </w:rPr>
            </w:pPr>
          </w:p>
        </w:tc>
        <w:tc>
          <w:tcPr>
            <w:tcW w:w="644" w:type="dxa"/>
            <w:shd w:val="clear" w:color="auto" w:fill="F2F2F2"/>
          </w:tcPr>
          <w:p w14:paraId="142203CD" w14:textId="0CF1D83D" w:rsidR="003C045B" w:rsidRPr="00AC21F0" w:rsidRDefault="003C045B" w:rsidP="006A0740">
            <w:pPr>
              <w:spacing w:line="240" w:lineRule="atLeast"/>
              <w:jc w:val="center"/>
              <w:rPr>
                <w:rFonts w:ascii="Times New Roman" w:eastAsia="Calibri" w:hAnsi="Times New Roman" w:cs="Times New Roman"/>
                <w:i/>
                <w:sz w:val="20"/>
                <w:szCs w:val="20"/>
                <w:lang w:val="en-US"/>
              </w:rPr>
            </w:pPr>
          </w:p>
        </w:tc>
        <w:tc>
          <w:tcPr>
            <w:tcW w:w="5040" w:type="dxa"/>
            <w:shd w:val="clear" w:color="auto" w:fill="F2F2F2"/>
          </w:tcPr>
          <w:p w14:paraId="179AF4E9" w14:textId="77777777" w:rsidR="00201DBB" w:rsidRPr="00AC21F0" w:rsidRDefault="00201DBB" w:rsidP="006A0740">
            <w:pPr>
              <w:pStyle w:val="Heading3"/>
              <w:spacing w:line="240" w:lineRule="atLeast"/>
              <w:jc w:val="center"/>
              <w:rPr>
                <w:color w:val="000000" w:themeColor="text1"/>
                <w:sz w:val="20"/>
                <w:szCs w:val="20"/>
              </w:rPr>
            </w:pPr>
            <w:r w:rsidRPr="00AC21F0">
              <w:rPr>
                <w:b w:val="0"/>
                <w:color w:val="000000" w:themeColor="text1"/>
                <w:sz w:val="20"/>
                <w:szCs w:val="20"/>
              </w:rPr>
              <w:t>Article 3</w:t>
            </w:r>
          </w:p>
          <w:p w14:paraId="2EB23AA1" w14:textId="77777777" w:rsidR="00201DBB" w:rsidRPr="00AC21F0" w:rsidRDefault="00201DBB" w:rsidP="006A0740">
            <w:pPr>
              <w:keepNext/>
              <w:keepLines/>
              <w:spacing w:before="200" w:line="240" w:lineRule="atLeast"/>
              <w:jc w:val="center"/>
              <w:outlineLvl w:val="2"/>
              <w:rPr>
                <w:rFonts w:ascii="Times New Roman" w:eastAsia="Times New Roman" w:hAnsi="Times New Roman" w:cs="Times New Roman"/>
                <w:b/>
                <w:bCs/>
                <w:color w:val="000000" w:themeColor="text1"/>
                <w:sz w:val="20"/>
                <w:szCs w:val="20"/>
              </w:rPr>
            </w:pPr>
            <w:r w:rsidRPr="00AC21F0">
              <w:rPr>
                <w:rFonts w:ascii="Times New Roman" w:hAnsi="Times New Roman" w:cs="Times New Roman"/>
                <w:b/>
                <w:color w:val="000000" w:themeColor="text1"/>
                <w:sz w:val="20"/>
                <w:szCs w:val="20"/>
              </w:rPr>
              <w:t>Scope of application</w:t>
            </w:r>
          </w:p>
          <w:p w14:paraId="77F88E09" w14:textId="4AF67DAB" w:rsidR="003C045B" w:rsidRPr="00AC21F0" w:rsidRDefault="003C045B" w:rsidP="006A0740">
            <w:pPr>
              <w:pStyle w:val="Heading3"/>
              <w:spacing w:line="240" w:lineRule="atLeast"/>
              <w:jc w:val="center"/>
              <w:rPr>
                <w:sz w:val="20"/>
                <w:szCs w:val="20"/>
              </w:rPr>
            </w:pPr>
          </w:p>
        </w:tc>
        <w:tc>
          <w:tcPr>
            <w:tcW w:w="720" w:type="dxa"/>
            <w:shd w:val="clear" w:color="auto" w:fill="F2F2F2"/>
          </w:tcPr>
          <w:p w14:paraId="156DE2D0" w14:textId="317F1CC1" w:rsidR="003C045B" w:rsidRPr="00AC21F0" w:rsidRDefault="003C045B" w:rsidP="006A0740">
            <w:pPr>
              <w:spacing w:line="240" w:lineRule="atLeast"/>
              <w:jc w:val="center"/>
              <w:rPr>
                <w:rFonts w:ascii="Times New Roman" w:eastAsia="Calibri" w:hAnsi="Times New Roman" w:cs="Times New Roman"/>
                <w:i/>
                <w:sz w:val="20"/>
                <w:szCs w:val="20"/>
                <w:lang w:val="en-US"/>
              </w:rPr>
            </w:pPr>
          </w:p>
        </w:tc>
        <w:tc>
          <w:tcPr>
            <w:tcW w:w="3510" w:type="dxa"/>
            <w:shd w:val="clear" w:color="auto" w:fill="F2F2F2"/>
          </w:tcPr>
          <w:p w14:paraId="33A2FCA3" w14:textId="568B1A5C" w:rsidR="003C045B" w:rsidRPr="00AC21F0" w:rsidRDefault="003C045B" w:rsidP="006A0740">
            <w:pPr>
              <w:spacing w:line="240" w:lineRule="atLeast"/>
              <w:rPr>
                <w:rFonts w:ascii="Times New Roman" w:eastAsia="Calibri" w:hAnsi="Times New Roman" w:cs="Times New Roman"/>
                <w:i/>
                <w:sz w:val="20"/>
                <w:szCs w:val="20"/>
                <w:lang w:val="en-US"/>
              </w:rPr>
            </w:pPr>
          </w:p>
        </w:tc>
      </w:tr>
      <w:tr w:rsidR="003C045B" w:rsidRPr="00AC21F0" w14:paraId="65C77C64" w14:textId="77777777" w:rsidTr="004738EE">
        <w:trPr>
          <w:trHeight w:val="2085"/>
        </w:trPr>
        <w:tc>
          <w:tcPr>
            <w:tcW w:w="540" w:type="dxa"/>
          </w:tcPr>
          <w:p w14:paraId="6050527A" w14:textId="424C66A8" w:rsidR="003C045B" w:rsidRPr="00AC21F0" w:rsidRDefault="003C045B" w:rsidP="006A0740">
            <w:pPr>
              <w:spacing w:line="240" w:lineRule="atLeast"/>
              <w:jc w:val="both"/>
              <w:rPr>
                <w:rFonts w:ascii="Times New Roman" w:eastAsia="Calibri" w:hAnsi="Times New Roman" w:cs="Times New Roman"/>
                <w:sz w:val="20"/>
                <w:szCs w:val="20"/>
                <w:lang w:val="en-US"/>
              </w:rPr>
            </w:pPr>
            <w:r w:rsidRPr="00AC21F0">
              <w:rPr>
                <w:rFonts w:ascii="Times New Roman" w:eastAsia="Calibri" w:hAnsi="Times New Roman" w:cs="Times New Roman"/>
                <w:sz w:val="20"/>
                <w:szCs w:val="20"/>
                <w:lang w:val="en-US"/>
              </w:rPr>
              <w:t>1</w:t>
            </w:r>
          </w:p>
        </w:tc>
        <w:tc>
          <w:tcPr>
            <w:tcW w:w="5400" w:type="dxa"/>
          </w:tcPr>
          <w:p w14:paraId="13191D8A" w14:textId="0E65CE6F" w:rsidR="003C045B" w:rsidRPr="00AC21F0" w:rsidRDefault="003C045B" w:rsidP="006A0740">
            <w:pPr>
              <w:spacing w:line="240" w:lineRule="atLeast"/>
              <w:jc w:val="both"/>
              <w:rPr>
                <w:rFonts w:ascii="Times New Roman" w:eastAsia="Calibri" w:hAnsi="Times New Roman" w:cs="Times New Roman"/>
                <w:iCs/>
                <w:sz w:val="20"/>
                <w:szCs w:val="20"/>
                <w:lang w:val="en-US"/>
              </w:rPr>
            </w:pPr>
            <w:r w:rsidRPr="00AC21F0">
              <w:rPr>
                <w:rFonts w:ascii="Times New Roman" w:eastAsia="Times New Roman" w:hAnsi="Times New Roman" w:cs="Times New Roman"/>
                <w:color w:val="333333"/>
                <w:sz w:val="20"/>
                <w:szCs w:val="20"/>
              </w:rPr>
              <w:t>1</w:t>
            </w:r>
            <w:r w:rsidR="00417273" w:rsidRPr="00AC21F0">
              <w:rPr>
                <w:rFonts w:ascii="Times New Roman" w:eastAsia="Times New Roman" w:hAnsi="Times New Roman" w:cs="Times New Roman"/>
                <w:color w:val="333333"/>
                <w:sz w:val="20"/>
                <w:szCs w:val="20"/>
              </w:rPr>
              <w:t>Premabule</w:t>
            </w:r>
            <w:r w:rsidRPr="00AC21F0">
              <w:rPr>
                <w:rFonts w:ascii="Times New Roman" w:eastAsia="Times New Roman" w:hAnsi="Times New Roman" w:cs="Times New Roman"/>
                <w:color w:val="333333"/>
                <w:sz w:val="20"/>
                <w:szCs w:val="20"/>
              </w:rPr>
              <w:t xml:space="preserve">, </w:t>
            </w:r>
          </w:p>
        </w:tc>
        <w:tc>
          <w:tcPr>
            <w:tcW w:w="450" w:type="dxa"/>
          </w:tcPr>
          <w:p w14:paraId="73A9F1D9" w14:textId="3AAB19BF" w:rsidR="003C045B" w:rsidRPr="00AC21F0" w:rsidRDefault="003C045B" w:rsidP="006A0740">
            <w:pPr>
              <w:spacing w:line="240" w:lineRule="atLeast"/>
              <w:jc w:val="center"/>
              <w:rPr>
                <w:rFonts w:ascii="Times New Roman" w:eastAsia="Calibri" w:hAnsi="Times New Roman" w:cs="Times New Roman"/>
                <w:sz w:val="20"/>
                <w:szCs w:val="20"/>
              </w:rPr>
            </w:pPr>
            <w:r w:rsidRPr="00AC21F0">
              <w:rPr>
                <w:rFonts w:ascii="Times New Roman" w:eastAsia="Calibri" w:hAnsi="Times New Roman" w:cs="Times New Roman"/>
                <w:sz w:val="20"/>
                <w:szCs w:val="20"/>
              </w:rPr>
              <w:t>1</w:t>
            </w:r>
          </w:p>
        </w:tc>
        <w:tc>
          <w:tcPr>
            <w:tcW w:w="644" w:type="dxa"/>
          </w:tcPr>
          <w:p w14:paraId="16B43562" w14:textId="5BD32D60"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5040" w:type="dxa"/>
            <w:tcBorders>
              <w:bottom w:val="dashed" w:sz="4" w:space="0" w:color="auto"/>
            </w:tcBorders>
          </w:tcPr>
          <w:p w14:paraId="7DF41503" w14:textId="77777777" w:rsidR="003C045B" w:rsidRPr="00AC21F0" w:rsidRDefault="003C045B" w:rsidP="006A0740">
            <w:pPr>
              <w:spacing w:line="240" w:lineRule="atLeast"/>
              <w:jc w:val="both"/>
              <w:rPr>
                <w:rFonts w:ascii="Times New Roman" w:hAnsi="Times New Roman" w:cs="Times New Roman"/>
                <w:color w:val="000000" w:themeColor="text1"/>
                <w:sz w:val="20"/>
                <w:szCs w:val="20"/>
                <w:lang w:val="sq-AL"/>
              </w:rPr>
            </w:pPr>
          </w:p>
          <w:p w14:paraId="36A8A093" w14:textId="77777777" w:rsidR="00201DBB" w:rsidRPr="00AC21F0" w:rsidRDefault="00201DBB" w:rsidP="006A0740">
            <w:pPr>
              <w:spacing w:line="240" w:lineRule="atLeast"/>
              <w:jc w:val="both"/>
              <w:rPr>
                <w:rFonts w:ascii="Times New Roman" w:eastAsia="Calibri" w:hAnsi="Times New Roman" w:cs="Times New Roman"/>
                <w:sz w:val="20"/>
                <w:szCs w:val="20"/>
              </w:rPr>
            </w:pPr>
            <w:r w:rsidRPr="00AC21F0">
              <w:rPr>
                <w:rFonts w:ascii="Times New Roman" w:eastAsia="Calibri" w:hAnsi="Times New Roman" w:cs="Times New Roman"/>
                <w:sz w:val="20"/>
                <w:szCs w:val="20"/>
              </w:rPr>
              <w:t>1.</w:t>
            </w:r>
            <w:r w:rsidRPr="00AC21F0">
              <w:rPr>
                <w:rFonts w:ascii="Times New Roman" w:eastAsia="Calibri" w:hAnsi="Times New Roman" w:cs="Times New Roman"/>
                <w:sz w:val="20"/>
                <w:szCs w:val="20"/>
              </w:rPr>
              <w:tab/>
              <w:t>This law shall apply to all payment service providers licensed to carry out their activity in the territory of the Republic of Albania.</w:t>
            </w:r>
          </w:p>
          <w:p w14:paraId="7E2505A9" w14:textId="77777777" w:rsidR="00201DBB" w:rsidRPr="00AC21F0" w:rsidRDefault="00201DBB" w:rsidP="006A0740">
            <w:pPr>
              <w:spacing w:line="240" w:lineRule="atLeast"/>
              <w:jc w:val="both"/>
              <w:rPr>
                <w:rFonts w:ascii="Times New Roman" w:eastAsia="Calibri" w:hAnsi="Times New Roman" w:cs="Times New Roman"/>
                <w:sz w:val="20"/>
                <w:szCs w:val="20"/>
              </w:rPr>
            </w:pPr>
            <w:r w:rsidRPr="00AC21F0">
              <w:rPr>
                <w:rFonts w:ascii="Times New Roman" w:eastAsia="Calibri" w:hAnsi="Times New Roman" w:cs="Times New Roman"/>
                <w:sz w:val="20"/>
                <w:szCs w:val="20"/>
              </w:rPr>
              <w:t>2.</w:t>
            </w:r>
            <w:r w:rsidRPr="00AC21F0">
              <w:rPr>
                <w:rFonts w:ascii="Times New Roman" w:eastAsia="Calibri" w:hAnsi="Times New Roman" w:cs="Times New Roman"/>
                <w:sz w:val="20"/>
                <w:szCs w:val="20"/>
              </w:rPr>
              <w:tab/>
              <w:t>This law covers cross-border payments executed by such payment service providers.</w:t>
            </w:r>
          </w:p>
          <w:p w14:paraId="05CBA041" w14:textId="7F9BDF5F" w:rsidR="003C045B" w:rsidRPr="00AC21F0" w:rsidRDefault="00201DBB" w:rsidP="006A0740">
            <w:pPr>
              <w:spacing w:line="240" w:lineRule="atLeast"/>
              <w:jc w:val="both"/>
              <w:rPr>
                <w:rFonts w:ascii="Times New Roman" w:eastAsia="Calibri" w:hAnsi="Times New Roman" w:cs="Times New Roman"/>
                <w:sz w:val="20"/>
                <w:szCs w:val="20"/>
              </w:rPr>
            </w:pPr>
            <w:r w:rsidRPr="00AC21F0">
              <w:rPr>
                <w:rFonts w:ascii="Times New Roman" w:eastAsia="Calibri" w:hAnsi="Times New Roman" w:cs="Times New Roman"/>
                <w:sz w:val="20"/>
                <w:szCs w:val="20"/>
              </w:rPr>
              <w:t>3.</w:t>
            </w:r>
            <w:r w:rsidRPr="00AC21F0">
              <w:rPr>
                <w:rFonts w:ascii="Times New Roman" w:eastAsia="Calibri" w:hAnsi="Times New Roman" w:cs="Times New Roman"/>
                <w:sz w:val="20"/>
                <w:szCs w:val="20"/>
              </w:rPr>
              <w:tab/>
              <w:t>The implementation of this Law shall not affect the obligations of payment service providers arising from the legislation on payment services and financial supervision.</w:t>
            </w:r>
          </w:p>
        </w:tc>
        <w:tc>
          <w:tcPr>
            <w:tcW w:w="720" w:type="dxa"/>
            <w:tcBorders>
              <w:bottom w:val="dashed" w:sz="4" w:space="0" w:color="auto"/>
            </w:tcBorders>
          </w:tcPr>
          <w:p w14:paraId="6FCF9030" w14:textId="7E85D828" w:rsidR="003C045B" w:rsidRPr="00AC21F0" w:rsidRDefault="003C045B" w:rsidP="006A0740">
            <w:pPr>
              <w:spacing w:line="240" w:lineRule="atLeast"/>
              <w:jc w:val="center"/>
              <w:rPr>
                <w:rFonts w:ascii="Times New Roman" w:eastAsia="Calibri" w:hAnsi="Times New Roman" w:cs="Times New Roman"/>
                <w:sz w:val="20"/>
                <w:szCs w:val="20"/>
                <w:lang w:val="en-US"/>
              </w:rPr>
            </w:pPr>
            <w:r w:rsidRPr="00AC21F0">
              <w:rPr>
                <w:rFonts w:ascii="Times New Roman" w:eastAsia="Calibri" w:hAnsi="Times New Roman" w:cs="Times New Roman"/>
                <w:sz w:val="20"/>
                <w:szCs w:val="20"/>
                <w:lang w:val="en-US"/>
              </w:rPr>
              <w:t>F</w:t>
            </w:r>
          </w:p>
        </w:tc>
        <w:tc>
          <w:tcPr>
            <w:tcW w:w="3510" w:type="dxa"/>
            <w:tcBorders>
              <w:bottom w:val="dashed" w:sz="4" w:space="0" w:color="auto"/>
            </w:tcBorders>
          </w:tcPr>
          <w:p w14:paraId="08DB7295" w14:textId="7EA7517D" w:rsidR="003C045B" w:rsidRPr="00AC21F0" w:rsidRDefault="003C045B" w:rsidP="006A0740">
            <w:pPr>
              <w:spacing w:line="240" w:lineRule="atLeast"/>
              <w:rPr>
                <w:rFonts w:ascii="Times New Roman" w:eastAsia="Calibri" w:hAnsi="Times New Roman" w:cs="Times New Roman"/>
                <w:sz w:val="20"/>
                <w:szCs w:val="20"/>
                <w:lang w:val="en-US"/>
              </w:rPr>
            </w:pPr>
            <w:r w:rsidRPr="00AC21F0">
              <w:rPr>
                <w:rFonts w:ascii="Times New Roman" w:eastAsia="Times New Roman" w:hAnsi="Times New Roman" w:cs="Times New Roman"/>
                <w:sz w:val="20"/>
                <w:szCs w:val="20"/>
              </w:rPr>
              <w:t>Fully compliant</w:t>
            </w:r>
            <w:r w:rsidR="00CB119E" w:rsidRPr="00AC21F0">
              <w:rPr>
                <w:rFonts w:ascii="Times New Roman" w:eastAsia="Times New Roman" w:hAnsi="Times New Roman" w:cs="Times New Roman"/>
                <w:sz w:val="20"/>
                <w:szCs w:val="20"/>
              </w:rPr>
              <w:t>.</w:t>
            </w:r>
          </w:p>
        </w:tc>
      </w:tr>
      <w:tr w:rsidR="003C045B" w:rsidRPr="00AC21F0" w14:paraId="307841CB" w14:textId="77777777" w:rsidTr="00990A3C">
        <w:trPr>
          <w:trHeight w:val="836"/>
        </w:trPr>
        <w:tc>
          <w:tcPr>
            <w:tcW w:w="540" w:type="dxa"/>
            <w:shd w:val="clear" w:color="auto" w:fill="D0CECE" w:themeFill="background2" w:themeFillShade="E6"/>
          </w:tcPr>
          <w:p w14:paraId="30FC065C" w14:textId="4F80A36D" w:rsidR="003C045B" w:rsidRPr="00AC21F0" w:rsidRDefault="003C045B" w:rsidP="006A0740">
            <w:pPr>
              <w:spacing w:line="240" w:lineRule="atLeast"/>
              <w:jc w:val="both"/>
              <w:rPr>
                <w:rFonts w:ascii="Times New Roman" w:eastAsia="Calibri" w:hAnsi="Times New Roman" w:cs="Times New Roman"/>
                <w:i/>
                <w:iCs/>
                <w:sz w:val="20"/>
                <w:szCs w:val="20"/>
                <w:lang w:val="en-US"/>
              </w:rPr>
            </w:pPr>
            <w:r w:rsidRPr="00AC21F0">
              <w:rPr>
                <w:rFonts w:ascii="Times New Roman" w:eastAsia="Calibri" w:hAnsi="Times New Roman" w:cs="Times New Roman"/>
                <w:i/>
                <w:iCs/>
                <w:sz w:val="20"/>
                <w:szCs w:val="20"/>
                <w:lang w:val="en-US"/>
              </w:rPr>
              <w:t>1</w:t>
            </w:r>
          </w:p>
        </w:tc>
        <w:tc>
          <w:tcPr>
            <w:tcW w:w="5400" w:type="dxa"/>
            <w:shd w:val="clear" w:color="auto" w:fill="D0CECE" w:themeFill="background2" w:themeFillShade="E6"/>
          </w:tcPr>
          <w:p w14:paraId="5ACEBAC2" w14:textId="77777777" w:rsidR="003C045B" w:rsidRPr="00AC21F0" w:rsidRDefault="003C045B" w:rsidP="006A0740">
            <w:pPr>
              <w:pStyle w:val="oj-ti-art"/>
              <w:shd w:val="clear" w:color="auto" w:fill="FFFFFF"/>
              <w:spacing w:before="360" w:beforeAutospacing="0" w:after="120" w:afterAutospacing="0" w:line="240" w:lineRule="atLeast"/>
              <w:jc w:val="center"/>
              <w:rPr>
                <w:i/>
                <w:iCs/>
                <w:color w:val="333333"/>
                <w:sz w:val="20"/>
                <w:szCs w:val="20"/>
              </w:rPr>
            </w:pPr>
            <w:r w:rsidRPr="00AC21F0">
              <w:rPr>
                <w:i/>
                <w:iCs/>
                <w:color w:val="333333"/>
                <w:sz w:val="20"/>
                <w:szCs w:val="20"/>
              </w:rPr>
              <w:t>Article 243a</w:t>
            </w:r>
          </w:p>
          <w:p w14:paraId="4F8CBED4" w14:textId="73FACCA3" w:rsidR="003C045B" w:rsidRPr="00AC21F0" w:rsidRDefault="003C045B" w:rsidP="006A0740">
            <w:pPr>
              <w:spacing w:line="240" w:lineRule="atLeast"/>
              <w:jc w:val="center"/>
              <w:rPr>
                <w:rFonts w:ascii="Times New Roman" w:eastAsia="Calibri" w:hAnsi="Times New Roman" w:cs="Times New Roman"/>
                <w:i/>
                <w:iCs/>
                <w:sz w:val="20"/>
                <w:szCs w:val="20"/>
                <w:lang w:val="en-US"/>
              </w:rPr>
            </w:pPr>
          </w:p>
        </w:tc>
        <w:tc>
          <w:tcPr>
            <w:tcW w:w="450" w:type="dxa"/>
            <w:shd w:val="clear" w:color="auto" w:fill="D0CECE" w:themeFill="background2" w:themeFillShade="E6"/>
          </w:tcPr>
          <w:p w14:paraId="531B1028" w14:textId="03AF37C2" w:rsidR="003C045B" w:rsidRPr="00AC21F0" w:rsidRDefault="003C045B" w:rsidP="006A0740">
            <w:pPr>
              <w:spacing w:line="240" w:lineRule="atLeast"/>
              <w:jc w:val="center"/>
              <w:rPr>
                <w:rFonts w:ascii="Times New Roman" w:eastAsia="Calibri" w:hAnsi="Times New Roman" w:cs="Times New Roman"/>
                <w:i/>
                <w:iCs/>
                <w:sz w:val="20"/>
                <w:szCs w:val="20"/>
              </w:rPr>
            </w:pPr>
          </w:p>
        </w:tc>
        <w:tc>
          <w:tcPr>
            <w:tcW w:w="644" w:type="dxa"/>
            <w:shd w:val="clear" w:color="auto" w:fill="D0CECE" w:themeFill="background2" w:themeFillShade="E6"/>
          </w:tcPr>
          <w:p w14:paraId="3A369060" w14:textId="7A615964" w:rsidR="003C045B" w:rsidRPr="00AC21F0" w:rsidRDefault="003C045B" w:rsidP="006A0740">
            <w:pPr>
              <w:spacing w:line="240" w:lineRule="atLeast"/>
              <w:jc w:val="center"/>
              <w:rPr>
                <w:rFonts w:ascii="Times New Roman" w:eastAsia="Calibri" w:hAnsi="Times New Roman" w:cs="Times New Roman"/>
                <w:i/>
                <w:iCs/>
                <w:sz w:val="20"/>
                <w:szCs w:val="20"/>
                <w:lang w:val="en-US"/>
              </w:rPr>
            </w:pPr>
          </w:p>
        </w:tc>
        <w:tc>
          <w:tcPr>
            <w:tcW w:w="5040" w:type="dxa"/>
            <w:tcBorders>
              <w:bottom w:val="dashed" w:sz="4" w:space="0" w:color="auto"/>
            </w:tcBorders>
            <w:shd w:val="clear" w:color="auto" w:fill="D0CECE" w:themeFill="background2" w:themeFillShade="E6"/>
          </w:tcPr>
          <w:p w14:paraId="12E34D14" w14:textId="77777777" w:rsidR="00201DBB" w:rsidRPr="00AC21F0" w:rsidRDefault="00201DBB" w:rsidP="006A0740">
            <w:pPr>
              <w:spacing w:line="240" w:lineRule="atLeast"/>
              <w:jc w:val="center"/>
              <w:rPr>
                <w:rFonts w:ascii="Times New Roman" w:hAnsi="Times New Roman" w:cs="Times New Roman"/>
                <w:b/>
                <w:bCs/>
                <w:sz w:val="20"/>
                <w:szCs w:val="20"/>
              </w:rPr>
            </w:pPr>
            <w:r w:rsidRPr="00AC21F0">
              <w:rPr>
                <w:rFonts w:ascii="Times New Roman" w:hAnsi="Times New Roman" w:cs="Times New Roman"/>
                <w:b/>
                <w:sz w:val="20"/>
                <w:szCs w:val="20"/>
              </w:rPr>
              <w:t>Article 4</w:t>
            </w:r>
          </w:p>
          <w:p w14:paraId="3510BD5A" w14:textId="77777777" w:rsidR="00201DBB" w:rsidRPr="00AC21F0" w:rsidRDefault="00201DBB" w:rsidP="006A0740">
            <w:pPr>
              <w:spacing w:line="240" w:lineRule="atLeast"/>
              <w:jc w:val="center"/>
              <w:rPr>
                <w:rFonts w:ascii="Times New Roman" w:hAnsi="Times New Roman" w:cs="Times New Roman"/>
                <w:b/>
                <w:bCs/>
                <w:sz w:val="20"/>
                <w:szCs w:val="20"/>
              </w:rPr>
            </w:pPr>
            <w:r w:rsidRPr="00AC21F0">
              <w:rPr>
                <w:rFonts w:ascii="Times New Roman" w:hAnsi="Times New Roman" w:cs="Times New Roman"/>
                <w:b/>
                <w:sz w:val="20"/>
                <w:szCs w:val="20"/>
              </w:rPr>
              <w:t xml:space="preserve"> Definitions</w:t>
            </w:r>
          </w:p>
          <w:p w14:paraId="5A4D9807" w14:textId="13147B4D" w:rsidR="003C045B" w:rsidRPr="00AC21F0" w:rsidRDefault="003C045B" w:rsidP="006A0740">
            <w:pPr>
              <w:spacing w:line="240" w:lineRule="atLeast"/>
              <w:jc w:val="center"/>
              <w:rPr>
                <w:rFonts w:ascii="Times New Roman" w:hAnsi="Times New Roman" w:cs="Times New Roman"/>
                <w:i/>
                <w:iCs/>
                <w:sz w:val="20"/>
                <w:szCs w:val="20"/>
              </w:rPr>
            </w:pPr>
          </w:p>
        </w:tc>
        <w:tc>
          <w:tcPr>
            <w:tcW w:w="720" w:type="dxa"/>
            <w:tcBorders>
              <w:bottom w:val="dashed" w:sz="4" w:space="0" w:color="auto"/>
            </w:tcBorders>
            <w:shd w:val="clear" w:color="auto" w:fill="D0CECE" w:themeFill="background2" w:themeFillShade="E6"/>
          </w:tcPr>
          <w:p w14:paraId="6DCE269F" w14:textId="3A19D692" w:rsidR="003C045B" w:rsidRPr="00AC21F0" w:rsidRDefault="003C045B" w:rsidP="006A0740">
            <w:pPr>
              <w:spacing w:line="240" w:lineRule="atLeast"/>
              <w:jc w:val="center"/>
              <w:rPr>
                <w:rFonts w:ascii="Times New Roman" w:eastAsia="Calibri" w:hAnsi="Times New Roman" w:cs="Times New Roman"/>
                <w:i/>
                <w:iCs/>
                <w:sz w:val="20"/>
                <w:szCs w:val="20"/>
                <w:lang w:val="en-US"/>
              </w:rPr>
            </w:pPr>
          </w:p>
        </w:tc>
        <w:tc>
          <w:tcPr>
            <w:tcW w:w="3510" w:type="dxa"/>
            <w:tcBorders>
              <w:bottom w:val="dashed" w:sz="4" w:space="0" w:color="auto"/>
            </w:tcBorders>
            <w:shd w:val="clear" w:color="auto" w:fill="D0CECE" w:themeFill="background2" w:themeFillShade="E6"/>
          </w:tcPr>
          <w:p w14:paraId="18AC990D" w14:textId="77777777" w:rsidR="003C045B" w:rsidRPr="00AC21F0" w:rsidRDefault="003C045B" w:rsidP="006A0740">
            <w:pPr>
              <w:spacing w:line="240" w:lineRule="atLeast"/>
              <w:rPr>
                <w:rFonts w:ascii="Times New Roman" w:eastAsia="Calibri" w:hAnsi="Times New Roman" w:cs="Times New Roman"/>
                <w:i/>
                <w:iCs/>
                <w:sz w:val="20"/>
                <w:szCs w:val="20"/>
                <w:lang w:val="en-US"/>
              </w:rPr>
            </w:pPr>
          </w:p>
        </w:tc>
      </w:tr>
      <w:tr w:rsidR="003C045B" w:rsidRPr="00AC21F0" w14:paraId="7D4505B4" w14:textId="77777777" w:rsidTr="007022FA">
        <w:trPr>
          <w:trHeight w:val="6848"/>
        </w:trPr>
        <w:tc>
          <w:tcPr>
            <w:tcW w:w="540" w:type="dxa"/>
          </w:tcPr>
          <w:p w14:paraId="1080D9D2" w14:textId="139AC4B4"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tcPr>
          <w:p w14:paraId="60D6EF19" w14:textId="77777777" w:rsidR="003C045B" w:rsidRPr="00AC21F0" w:rsidRDefault="003C045B" w:rsidP="006A0740">
            <w:pPr>
              <w:pStyle w:val="oj-normal"/>
              <w:shd w:val="clear" w:color="auto" w:fill="FFFFFF"/>
              <w:spacing w:before="120" w:beforeAutospacing="0" w:after="0" w:afterAutospacing="0" w:line="240" w:lineRule="atLeast"/>
              <w:jc w:val="both"/>
              <w:rPr>
                <w:color w:val="333333"/>
                <w:sz w:val="20"/>
                <w:szCs w:val="20"/>
              </w:rPr>
            </w:pPr>
            <w:r w:rsidRPr="00AC21F0">
              <w:rPr>
                <w:color w:val="333333"/>
                <w:sz w:val="20"/>
                <w:szCs w:val="20"/>
              </w:rPr>
              <w:t>For the purposes of this Section, the following definitions apply:</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AC21F0" w14:paraId="2AD8FCF3" w14:textId="77777777" w:rsidTr="0042577F">
              <w:tc>
                <w:tcPr>
                  <w:tcW w:w="315" w:type="dxa"/>
                  <w:shd w:val="clear" w:color="auto" w:fill="FFFFFF"/>
                  <w:hideMark/>
                </w:tcPr>
                <w:p w14:paraId="309F8360"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(1)</w:t>
                  </w:r>
                </w:p>
              </w:tc>
              <w:tc>
                <w:tcPr>
                  <w:tcW w:w="9045" w:type="dxa"/>
                  <w:shd w:val="clear" w:color="auto" w:fill="FFFFFF"/>
                  <w:hideMark/>
                </w:tcPr>
                <w:p w14:paraId="727FC5ED"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“payment service provider” means any of the categories of payment service providers listed in points (a) to (d) of Article 1(1) of Directive (EU) 2015/2366 of the European Parliament and of the Council</w:t>
                  </w:r>
                  <w:hyperlink r:id="rId8" w:anchor="ntr*1-L_2020062EN.01000701-E0010" w:history="1">
                    <w:r w:rsidRPr="00AC21F0">
                      <w:rPr>
                        <w:rStyle w:val="Hyperlink"/>
                        <w:color w:val="0E47CB"/>
                        <w:sz w:val="20"/>
                        <w:szCs w:val="20"/>
                      </w:rPr>
                      <w:t> (</w:t>
                    </w:r>
                    <w:r w:rsidRPr="00AC21F0">
                      <w:rPr>
                        <w:rStyle w:val="oj-super"/>
                        <w:color w:val="0E47CB"/>
                        <w:sz w:val="20"/>
                        <w:szCs w:val="20"/>
                      </w:rPr>
                      <w:t>*1</w:t>
                    </w:r>
                    <w:r w:rsidRPr="00AC21F0">
                      <w:rPr>
                        <w:rStyle w:val="Hyperlink"/>
                        <w:color w:val="0E47CB"/>
                        <w:sz w:val="20"/>
                        <w:szCs w:val="20"/>
                      </w:rPr>
                      <w:t>)</w:t>
                    </w:r>
                  </w:hyperlink>
                  <w:r w:rsidRPr="00AC21F0">
                    <w:rPr>
                      <w:color w:val="333333"/>
                      <w:sz w:val="20"/>
                      <w:szCs w:val="20"/>
                    </w:rPr>
                    <w:t> or a natural or legal person benefiting from an exemption in accordance with Article 32 of that Directive;</w:t>
                  </w:r>
                </w:p>
              </w:tc>
            </w:tr>
          </w:tbl>
          <w:p w14:paraId="616CC6D3" w14:textId="77777777" w:rsidR="003C045B" w:rsidRPr="00AC21F0" w:rsidRDefault="003C045B" w:rsidP="006A0740">
            <w:pPr>
              <w:spacing w:line="240" w:lineRule="atLeast"/>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AC21F0" w14:paraId="17A7E30C" w14:textId="77777777" w:rsidTr="0042577F">
              <w:tc>
                <w:tcPr>
                  <w:tcW w:w="315" w:type="dxa"/>
                  <w:shd w:val="clear" w:color="auto" w:fill="FFFFFF"/>
                  <w:hideMark/>
                </w:tcPr>
                <w:p w14:paraId="2514709C"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(2)</w:t>
                  </w:r>
                </w:p>
              </w:tc>
              <w:tc>
                <w:tcPr>
                  <w:tcW w:w="9045" w:type="dxa"/>
                  <w:shd w:val="clear" w:color="auto" w:fill="FFFFFF"/>
                  <w:hideMark/>
                </w:tcPr>
                <w:p w14:paraId="1C30CFFD"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“payment service” means any of the business activities set out in points (3) to (6) of Annex I to Directive (EU) 2015/2366;</w:t>
                  </w:r>
                </w:p>
              </w:tc>
            </w:tr>
          </w:tbl>
          <w:p w14:paraId="1EBDF770" w14:textId="77777777" w:rsidR="003C045B" w:rsidRPr="00AC21F0" w:rsidRDefault="003C045B" w:rsidP="006A0740">
            <w:pPr>
              <w:spacing w:line="240" w:lineRule="atLeast"/>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AC21F0" w14:paraId="6D7EBF79" w14:textId="77777777" w:rsidTr="0042577F">
              <w:tc>
                <w:tcPr>
                  <w:tcW w:w="315" w:type="dxa"/>
                  <w:shd w:val="clear" w:color="auto" w:fill="FFFFFF"/>
                  <w:hideMark/>
                </w:tcPr>
                <w:p w14:paraId="78CA4060"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(3)</w:t>
                  </w:r>
                </w:p>
              </w:tc>
              <w:tc>
                <w:tcPr>
                  <w:tcW w:w="9045" w:type="dxa"/>
                  <w:shd w:val="clear" w:color="auto" w:fill="FFFFFF"/>
                  <w:hideMark/>
                </w:tcPr>
                <w:p w14:paraId="0214A807"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“payment” means, subject to the exclusions provided for in Article 3 of Directive (EU) 2015/2366, a “payment transaction ” as defined in point (5) of Article 4 of that Directive or a “money remittance” as defined in point (22) of Article 4 of that Directive;</w:t>
                  </w:r>
                </w:p>
              </w:tc>
            </w:tr>
          </w:tbl>
          <w:p w14:paraId="3284883C" w14:textId="77777777" w:rsidR="003C045B" w:rsidRPr="00AC21F0" w:rsidRDefault="003C045B" w:rsidP="006A0740">
            <w:pPr>
              <w:spacing w:line="240" w:lineRule="atLeast"/>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AC21F0" w14:paraId="3B871C0A" w14:textId="77777777" w:rsidTr="0042577F">
              <w:tc>
                <w:tcPr>
                  <w:tcW w:w="315" w:type="dxa"/>
                  <w:shd w:val="clear" w:color="auto" w:fill="FFFFFF"/>
                  <w:hideMark/>
                </w:tcPr>
                <w:p w14:paraId="216B3958"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(4)</w:t>
                  </w:r>
                </w:p>
              </w:tc>
              <w:tc>
                <w:tcPr>
                  <w:tcW w:w="9045" w:type="dxa"/>
                  <w:shd w:val="clear" w:color="auto" w:fill="FFFFFF"/>
                  <w:hideMark/>
                </w:tcPr>
                <w:p w14:paraId="2983ACC0"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“payer” means “payer” as defined in point (8) of Article 4 of Directive (EU) 2015/2366;</w:t>
                  </w:r>
                </w:p>
              </w:tc>
            </w:tr>
          </w:tbl>
          <w:p w14:paraId="494B80C0" w14:textId="77777777" w:rsidR="003C045B" w:rsidRPr="00AC21F0" w:rsidRDefault="003C045B" w:rsidP="006A0740">
            <w:pPr>
              <w:spacing w:line="240" w:lineRule="atLeast"/>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AC21F0" w14:paraId="23E0A257" w14:textId="77777777" w:rsidTr="0042577F">
              <w:tc>
                <w:tcPr>
                  <w:tcW w:w="315" w:type="dxa"/>
                  <w:shd w:val="clear" w:color="auto" w:fill="FFFFFF"/>
                  <w:hideMark/>
                </w:tcPr>
                <w:p w14:paraId="70972CC6"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(5)</w:t>
                  </w:r>
                </w:p>
              </w:tc>
              <w:tc>
                <w:tcPr>
                  <w:tcW w:w="9045" w:type="dxa"/>
                  <w:shd w:val="clear" w:color="auto" w:fill="FFFFFF"/>
                  <w:hideMark/>
                </w:tcPr>
                <w:p w14:paraId="729D9EC3"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“payee” means “</w:t>
                  </w:r>
                  <w:proofErr w:type="spellStart"/>
                  <w:r w:rsidRPr="00AC21F0">
                    <w:rPr>
                      <w:color w:val="333333"/>
                      <w:sz w:val="20"/>
                      <w:szCs w:val="20"/>
                    </w:rPr>
                    <w:t>payee”as</w:t>
                  </w:r>
                  <w:proofErr w:type="spellEnd"/>
                  <w:r w:rsidRPr="00AC21F0">
                    <w:rPr>
                      <w:color w:val="333333"/>
                      <w:sz w:val="20"/>
                      <w:szCs w:val="20"/>
                    </w:rPr>
                    <w:t xml:space="preserve"> defined in point (9) of Article 4 of Directive (EU) 2015/2366;</w:t>
                  </w:r>
                </w:p>
              </w:tc>
            </w:tr>
          </w:tbl>
          <w:p w14:paraId="7BC0B50D" w14:textId="77777777" w:rsidR="003C045B" w:rsidRPr="00AC21F0" w:rsidRDefault="003C045B" w:rsidP="006A0740">
            <w:pPr>
              <w:spacing w:line="240" w:lineRule="atLeast"/>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AC21F0" w14:paraId="608AA7DB" w14:textId="77777777" w:rsidTr="0042577F">
              <w:tc>
                <w:tcPr>
                  <w:tcW w:w="315" w:type="dxa"/>
                  <w:shd w:val="clear" w:color="auto" w:fill="FFFFFF"/>
                  <w:hideMark/>
                </w:tcPr>
                <w:p w14:paraId="2AEE9E92"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(6)</w:t>
                  </w:r>
                </w:p>
              </w:tc>
              <w:tc>
                <w:tcPr>
                  <w:tcW w:w="9045" w:type="dxa"/>
                  <w:shd w:val="clear" w:color="auto" w:fill="FFFFFF"/>
                  <w:hideMark/>
                </w:tcPr>
                <w:p w14:paraId="1F4621C8"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“home Member State” means “home Member State ” as defined in point (1) of Article 4 of Directive (EU) 2015/2366;</w:t>
                  </w:r>
                </w:p>
              </w:tc>
            </w:tr>
          </w:tbl>
          <w:p w14:paraId="42567139" w14:textId="77777777" w:rsidR="003C045B" w:rsidRPr="00AC21F0" w:rsidRDefault="003C045B" w:rsidP="006A0740">
            <w:pPr>
              <w:spacing w:line="240" w:lineRule="atLeast"/>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AC21F0" w14:paraId="3026C42F" w14:textId="77777777" w:rsidTr="0042577F">
              <w:tc>
                <w:tcPr>
                  <w:tcW w:w="315" w:type="dxa"/>
                  <w:shd w:val="clear" w:color="auto" w:fill="FFFFFF"/>
                  <w:hideMark/>
                </w:tcPr>
                <w:p w14:paraId="09426A6E"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(7)</w:t>
                  </w:r>
                </w:p>
              </w:tc>
              <w:tc>
                <w:tcPr>
                  <w:tcW w:w="9045" w:type="dxa"/>
                  <w:shd w:val="clear" w:color="auto" w:fill="FFFFFF"/>
                  <w:hideMark/>
                </w:tcPr>
                <w:p w14:paraId="53F9C5D1"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“host Member State” means “host Member State” as defined in point (2) of Article 4 of Directive (EU) 2015/2366;</w:t>
                  </w:r>
                </w:p>
              </w:tc>
            </w:tr>
          </w:tbl>
          <w:p w14:paraId="5A411012" w14:textId="77777777" w:rsidR="003C045B" w:rsidRPr="00AC21F0" w:rsidRDefault="003C045B" w:rsidP="006A0740">
            <w:pPr>
              <w:spacing w:line="240" w:lineRule="atLeast"/>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AC21F0" w14:paraId="709A903E" w14:textId="77777777" w:rsidTr="0042577F">
              <w:tc>
                <w:tcPr>
                  <w:tcW w:w="315" w:type="dxa"/>
                  <w:shd w:val="clear" w:color="auto" w:fill="FFFFFF"/>
                  <w:hideMark/>
                </w:tcPr>
                <w:p w14:paraId="0D1269F2"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(8)</w:t>
                  </w:r>
                </w:p>
              </w:tc>
              <w:tc>
                <w:tcPr>
                  <w:tcW w:w="9045" w:type="dxa"/>
                  <w:shd w:val="clear" w:color="auto" w:fill="FFFFFF"/>
                  <w:hideMark/>
                </w:tcPr>
                <w:p w14:paraId="16770F81"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“payment account” means “payment account” as defined in point (12) of Article 4 of Directive (EU) 2015/2366;</w:t>
                  </w:r>
                </w:p>
              </w:tc>
            </w:tr>
          </w:tbl>
          <w:p w14:paraId="749C8631" w14:textId="77777777" w:rsidR="003C045B" w:rsidRPr="00AC21F0" w:rsidRDefault="003C045B" w:rsidP="006A0740">
            <w:pPr>
              <w:spacing w:line="240" w:lineRule="atLeast"/>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3"/>
              <w:gridCol w:w="5001"/>
            </w:tblGrid>
            <w:tr w:rsidR="003C045B" w:rsidRPr="00AC21F0" w14:paraId="1C070370" w14:textId="77777777" w:rsidTr="0042577F">
              <w:tc>
                <w:tcPr>
                  <w:tcW w:w="315" w:type="dxa"/>
                  <w:shd w:val="clear" w:color="auto" w:fill="FFFFFF"/>
                  <w:hideMark/>
                </w:tcPr>
                <w:p w14:paraId="33D506C1"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(9)</w:t>
                  </w:r>
                </w:p>
              </w:tc>
              <w:tc>
                <w:tcPr>
                  <w:tcW w:w="9045" w:type="dxa"/>
                  <w:shd w:val="clear" w:color="auto" w:fill="FFFFFF"/>
                  <w:hideMark/>
                </w:tcPr>
                <w:p w14:paraId="0E70E4D2"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“IBAN” means “IBAN” as defined in point (15) of Article 2 of Regulation (EU) No 260/2012 of the European Parliament and of the Council</w:t>
                  </w:r>
                  <w:hyperlink r:id="rId9" w:anchor="ntr*2-L_2020062EN.01000701-E0011" w:history="1">
                    <w:r w:rsidRPr="00AC21F0">
                      <w:rPr>
                        <w:rStyle w:val="Hyperlink"/>
                        <w:color w:val="0E47CB"/>
                        <w:sz w:val="20"/>
                        <w:szCs w:val="20"/>
                      </w:rPr>
                      <w:t> (</w:t>
                    </w:r>
                    <w:r w:rsidRPr="00AC21F0">
                      <w:rPr>
                        <w:rStyle w:val="oj-super"/>
                        <w:color w:val="0E47CB"/>
                        <w:sz w:val="20"/>
                        <w:szCs w:val="20"/>
                      </w:rPr>
                      <w:t>*2</w:t>
                    </w:r>
                    <w:r w:rsidRPr="00AC21F0">
                      <w:rPr>
                        <w:rStyle w:val="Hyperlink"/>
                        <w:color w:val="0E47CB"/>
                        <w:sz w:val="20"/>
                        <w:szCs w:val="20"/>
                      </w:rPr>
                      <w:t>)</w:t>
                    </w:r>
                  </w:hyperlink>
                  <w:r w:rsidRPr="00AC21F0">
                    <w:rPr>
                      <w:color w:val="333333"/>
                      <w:sz w:val="20"/>
                      <w:szCs w:val="20"/>
                    </w:rPr>
                    <w:t>;</w:t>
                  </w:r>
                </w:p>
              </w:tc>
            </w:tr>
          </w:tbl>
          <w:p w14:paraId="541BAD89" w14:textId="77777777" w:rsidR="003C045B" w:rsidRPr="00AC21F0" w:rsidRDefault="003C045B" w:rsidP="006A0740">
            <w:pPr>
              <w:spacing w:line="240" w:lineRule="atLeast"/>
              <w:rPr>
                <w:rFonts w:ascii="Times New Roman" w:hAnsi="Times New Roman" w:cs="Times New Roman"/>
                <w:vanish/>
                <w:sz w:val="20"/>
                <w:szCs w:val="20"/>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57"/>
              <w:gridCol w:w="4927"/>
            </w:tblGrid>
            <w:tr w:rsidR="003C045B" w:rsidRPr="00AC21F0" w14:paraId="523C32CB" w14:textId="77777777" w:rsidTr="0042577F">
              <w:tc>
                <w:tcPr>
                  <w:tcW w:w="450" w:type="dxa"/>
                  <w:shd w:val="clear" w:color="auto" w:fill="FFFFFF"/>
                  <w:hideMark/>
                </w:tcPr>
                <w:p w14:paraId="44DD5668"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lastRenderedPageBreak/>
                    <w:t>(10)</w:t>
                  </w:r>
                </w:p>
              </w:tc>
              <w:tc>
                <w:tcPr>
                  <w:tcW w:w="8910" w:type="dxa"/>
                  <w:shd w:val="clear" w:color="auto" w:fill="FFFFFF"/>
                  <w:hideMark/>
                </w:tcPr>
                <w:p w14:paraId="7A48B45C" w14:textId="77777777" w:rsidR="003C045B" w:rsidRPr="00AC21F0" w:rsidRDefault="003C045B" w:rsidP="006A0740">
                  <w:pPr>
                    <w:pStyle w:val="oj-normal"/>
                    <w:spacing w:before="120" w:beforeAutospacing="0" w:after="0" w:afterAutospacing="0" w:line="240" w:lineRule="atLeast"/>
                    <w:jc w:val="both"/>
                    <w:rPr>
                      <w:color w:val="333333"/>
                      <w:sz w:val="20"/>
                      <w:szCs w:val="20"/>
                    </w:rPr>
                  </w:pPr>
                  <w:r w:rsidRPr="00AC21F0">
                    <w:rPr>
                      <w:color w:val="333333"/>
                      <w:sz w:val="20"/>
                      <w:szCs w:val="20"/>
                    </w:rPr>
                    <w:t>“BIC” means “BIC” as defined in point (16) of Article 2 of Regulation (EU) No 260/2012.</w:t>
                  </w:r>
                </w:p>
              </w:tc>
            </w:tr>
          </w:tbl>
          <w:p w14:paraId="37F6BDD1" w14:textId="77777777" w:rsidR="003C045B" w:rsidRPr="00AC21F0" w:rsidRDefault="003C045B" w:rsidP="006A0740">
            <w:pPr>
              <w:spacing w:line="240" w:lineRule="atLeast"/>
              <w:jc w:val="both"/>
              <w:rPr>
                <w:rFonts w:ascii="Times New Roman" w:eastAsia="Calibri" w:hAnsi="Times New Roman" w:cs="Times New Roman"/>
                <w:iCs/>
                <w:sz w:val="20"/>
                <w:szCs w:val="20"/>
                <w:lang w:val="en-US"/>
              </w:rPr>
            </w:pPr>
          </w:p>
          <w:p w14:paraId="52CBAD2B" w14:textId="77777777" w:rsidR="00B15EDC" w:rsidRPr="00AC21F0" w:rsidRDefault="00B15EDC" w:rsidP="006A0740">
            <w:pPr>
              <w:spacing w:line="240" w:lineRule="atLeast"/>
              <w:jc w:val="both"/>
              <w:rPr>
                <w:rFonts w:ascii="Times New Roman" w:eastAsia="Calibri" w:hAnsi="Times New Roman" w:cs="Times New Roman"/>
                <w:iCs/>
                <w:sz w:val="20"/>
                <w:szCs w:val="20"/>
                <w:lang w:val="en-US"/>
              </w:rPr>
            </w:pPr>
          </w:p>
          <w:p w14:paraId="0C574618" w14:textId="77777777" w:rsidR="00B15EDC" w:rsidRPr="00AC21F0" w:rsidRDefault="00B15EDC" w:rsidP="006A0740">
            <w:pPr>
              <w:spacing w:line="240" w:lineRule="atLeast"/>
              <w:jc w:val="both"/>
              <w:rPr>
                <w:rFonts w:ascii="Times New Roman" w:eastAsia="Calibri" w:hAnsi="Times New Roman" w:cs="Times New Roman"/>
                <w:iCs/>
                <w:sz w:val="20"/>
                <w:szCs w:val="20"/>
                <w:lang w:val="en-US"/>
              </w:rPr>
            </w:pPr>
          </w:p>
          <w:p w14:paraId="6C5801CC" w14:textId="77777777" w:rsidR="00B15EDC" w:rsidRPr="00AC21F0" w:rsidRDefault="00B15EDC" w:rsidP="006A0740">
            <w:pPr>
              <w:spacing w:line="240" w:lineRule="atLeast"/>
              <w:jc w:val="center"/>
              <w:rPr>
                <w:rFonts w:ascii="Times New Roman" w:eastAsia="Times New Roman" w:hAnsi="Times New Roman" w:cs="Times New Roman"/>
                <w:i/>
                <w:iCs/>
                <w:color w:val="333333"/>
                <w:sz w:val="20"/>
                <w:szCs w:val="20"/>
              </w:rPr>
            </w:pPr>
          </w:p>
          <w:p w14:paraId="6D0AC3F1" w14:textId="77777777" w:rsidR="00B15EDC" w:rsidRPr="00AC21F0" w:rsidRDefault="00B15EDC" w:rsidP="006A0740">
            <w:pPr>
              <w:spacing w:line="240" w:lineRule="atLeast"/>
              <w:jc w:val="center"/>
              <w:rPr>
                <w:rFonts w:ascii="Times New Roman" w:eastAsia="Times New Roman" w:hAnsi="Times New Roman" w:cs="Times New Roman"/>
                <w:i/>
                <w:iCs/>
                <w:color w:val="333333"/>
                <w:sz w:val="20"/>
                <w:szCs w:val="20"/>
              </w:rPr>
            </w:pPr>
          </w:p>
          <w:p w14:paraId="18516FF3" w14:textId="77777777" w:rsidR="00B15EDC" w:rsidRPr="00AC21F0" w:rsidRDefault="00B15EDC" w:rsidP="006A0740">
            <w:pPr>
              <w:spacing w:line="240" w:lineRule="atLeast"/>
              <w:jc w:val="center"/>
              <w:rPr>
                <w:rFonts w:ascii="Times New Roman" w:eastAsia="Times New Roman" w:hAnsi="Times New Roman" w:cs="Times New Roman"/>
                <w:i/>
                <w:iCs/>
                <w:color w:val="333333"/>
                <w:sz w:val="20"/>
                <w:szCs w:val="20"/>
              </w:rPr>
            </w:pPr>
          </w:p>
          <w:p w14:paraId="42033BCF" w14:textId="77777777" w:rsidR="00B15EDC" w:rsidRPr="00AC21F0" w:rsidRDefault="00B15EDC" w:rsidP="006A0740">
            <w:pPr>
              <w:spacing w:line="240" w:lineRule="atLeast"/>
              <w:jc w:val="center"/>
              <w:rPr>
                <w:rFonts w:ascii="Times New Roman" w:eastAsia="Times New Roman" w:hAnsi="Times New Roman" w:cs="Times New Roman"/>
                <w:i/>
                <w:iCs/>
                <w:color w:val="333333"/>
                <w:sz w:val="20"/>
                <w:szCs w:val="20"/>
              </w:rPr>
            </w:pPr>
          </w:p>
          <w:p w14:paraId="0C5E088D" w14:textId="77777777" w:rsidR="00B15EDC" w:rsidRPr="00AC21F0" w:rsidRDefault="00B15EDC" w:rsidP="006A0740">
            <w:pPr>
              <w:spacing w:line="240" w:lineRule="atLeast"/>
              <w:jc w:val="center"/>
              <w:rPr>
                <w:rFonts w:ascii="Times New Roman" w:eastAsia="Times New Roman" w:hAnsi="Times New Roman" w:cs="Times New Roman"/>
                <w:i/>
                <w:iCs/>
                <w:color w:val="333333"/>
                <w:sz w:val="20"/>
                <w:szCs w:val="20"/>
              </w:rPr>
            </w:pPr>
          </w:p>
          <w:p w14:paraId="37389338" w14:textId="77777777" w:rsidR="00B15EDC" w:rsidRPr="00AC21F0" w:rsidRDefault="00B15EDC" w:rsidP="006A0740">
            <w:pPr>
              <w:spacing w:line="240" w:lineRule="atLeast"/>
              <w:jc w:val="center"/>
              <w:rPr>
                <w:rFonts w:ascii="Times New Roman" w:eastAsia="Times New Roman" w:hAnsi="Times New Roman" w:cs="Times New Roman"/>
                <w:i/>
                <w:iCs/>
                <w:color w:val="333333"/>
                <w:sz w:val="20"/>
                <w:szCs w:val="20"/>
              </w:rPr>
            </w:pPr>
          </w:p>
          <w:p w14:paraId="76BB39A8" w14:textId="77777777" w:rsidR="00B15EDC" w:rsidRPr="00AC21F0" w:rsidRDefault="00B15EDC" w:rsidP="006A0740">
            <w:pPr>
              <w:spacing w:line="240" w:lineRule="atLeast"/>
              <w:jc w:val="center"/>
              <w:rPr>
                <w:rFonts w:ascii="Times New Roman" w:eastAsia="Times New Roman" w:hAnsi="Times New Roman" w:cs="Times New Roman"/>
                <w:i/>
                <w:iCs/>
                <w:color w:val="333333"/>
                <w:sz w:val="20"/>
                <w:szCs w:val="20"/>
              </w:rPr>
            </w:pPr>
          </w:p>
          <w:p w14:paraId="2AD21026" w14:textId="77777777" w:rsidR="00B15EDC" w:rsidRPr="00AC21F0" w:rsidRDefault="00B15EDC" w:rsidP="006A0740">
            <w:pPr>
              <w:spacing w:line="240" w:lineRule="atLeast"/>
              <w:jc w:val="center"/>
              <w:rPr>
                <w:rFonts w:ascii="Times New Roman" w:eastAsia="Times New Roman" w:hAnsi="Times New Roman" w:cs="Times New Roman"/>
                <w:i/>
                <w:iCs/>
                <w:color w:val="333333"/>
                <w:sz w:val="20"/>
                <w:szCs w:val="20"/>
              </w:rPr>
            </w:pPr>
          </w:p>
          <w:p w14:paraId="22E355D0" w14:textId="77777777" w:rsidR="00B15EDC" w:rsidRPr="00AC21F0" w:rsidRDefault="00B15EDC" w:rsidP="006A0740">
            <w:pPr>
              <w:spacing w:line="240" w:lineRule="atLeast"/>
              <w:jc w:val="center"/>
              <w:rPr>
                <w:rFonts w:ascii="Times New Roman" w:eastAsia="Times New Roman" w:hAnsi="Times New Roman" w:cs="Times New Roman"/>
                <w:i/>
                <w:iCs/>
                <w:color w:val="333333"/>
                <w:sz w:val="20"/>
                <w:szCs w:val="20"/>
              </w:rPr>
            </w:pPr>
          </w:p>
          <w:p w14:paraId="0EB3FF1C" w14:textId="77777777" w:rsidR="00B15EDC" w:rsidRPr="00AC21F0" w:rsidRDefault="00B15EDC" w:rsidP="006A0740">
            <w:pPr>
              <w:spacing w:line="240" w:lineRule="atLeast"/>
              <w:jc w:val="center"/>
              <w:rPr>
                <w:rFonts w:ascii="Times New Roman" w:eastAsia="Times New Roman" w:hAnsi="Times New Roman" w:cs="Times New Roman"/>
                <w:i/>
                <w:iCs/>
                <w:color w:val="333333"/>
                <w:sz w:val="20"/>
                <w:szCs w:val="20"/>
              </w:rPr>
            </w:pPr>
          </w:p>
          <w:p w14:paraId="59EAED40" w14:textId="2C247BF4" w:rsidR="00B15EDC" w:rsidRPr="00AC21F0" w:rsidRDefault="00B15EDC" w:rsidP="006A0740">
            <w:pPr>
              <w:spacing w:line="240" w:lineRule="atLeast"/>
              <w:jc w:val="center"/>
              <w:rPr>
                <w:rFonts w:ascii="Times New Roman" w:eastAsia="Times New Roman" w:hAnsi="Times New Roman" w:cs="Times New Roman"/>
                <w:i/>
                <w:iCs/>
                <w:color w:val="333333"/>
                <w:sz w:val="20"/>
                <w:szCs w:val="20"/>
              </w:rPr>
            </w:pPr>
            <w:r w:rsidRPr="00AC21F0">
              <w:rPr>
                <w:rFonts w:ascii="Times New Roman" w:eastAsia="Times New Roman" w:hAnsi="Times New Roman" w:cs="Times New Roman"/>
                <w:i/>
                <w:iCs/>
                <w:color w:val="333333"/>
                <w:sz w:val="20"/>
                <w:szCs w:val="20"/>
              </w:rPr>
              <w:t>Article 243d</w:t>
            </w:r>
          </w:p>
          <w:p w14:paraId="5C547071" w14:textId="78256400" w:rsidR="00B15EDC" w:rsidRPr="00AC21F0" w:rsidRDefault="00B15EDC" w:rsidP="006A0740">
            <w:pPr>
              <w:pStyle w:val="oj-normal"/>
              <w:shd w:val="clear" w:color="auto" w:fill="FFFFFF"/>
              <w:spacing w:before="120" w:beforeAutospacing="0" w:after="0" w:afterAutospacing="0" w:line="240" w:lineRule="atLeast"/>
              <w:jc w:val="both"/>
              <w:rPr>
                <w:color w:val="333333"/>
                <w:sz w:val="20"/>
                <w:szCs w:val="20"/>
              </w:rPr>
            </w:pPr>
            <w:r w:rsidRPr="00AC21F0">
              <w:rPr>
                <w:color w:val="333333"/>
                <w:sz w:val="20"/>
                <w:szCs w:val="20"/>
              </w:rPr>
              <w:t>A payment shall be considered a cross-border payment when the payer is located in a Member State and the payee is located in another Member State, in a third territory or in a third country.</w:t>
            </w:r>
          </w:p>
          <w:p w14:paraId="3A31154C" w14:textId="6A5680DE" w:rsidR="00B15EDC" w:rsidRPr="00AC21F0" w:rsidRDefault="00B15EDC" w:rsidP="006A0740">
            <w:pPr>
              <w:spacing w:line="240" w:lineRule="atLeast"/>
              <w:jc w:val="both"/>
              <w:rPr>
                <w:rFonts w:ascii="Times New Roman" w:eastAsia="Calibri" w:hAnsi="Times New Roman" w:cs="Times New Roman"/>
                <w:iCs/>
                <w:sz w:val="20"/>
                <w:szCs w:val="20"/>
              </w:rPr>
            </w:pPr>
          </w:p>
        </w:tc>
        <w:tc>
          <w:tcPr>
            <w:tcW w:w="450" w:type="dxa"/>
          </w:tcPr>
          <w:p w14:paraId="68273547" w14:textId="0F3E768C" w:rsidR="003C045B" w:rsidRPr="00AC21F0" w:rsidRDefault="003C045B" w:rsidP="006A0740">
            <w:pPr>
              <w:spacing w:line="240" w:lineRule="atLeast"/>
              <w:jc w:val="center"/>
              <w:rPr>
                <w:rFonts w:ascii="Times New Roman" w:eastAsia="Calibri" w:hAnsi="Times New Roman" w:cs="Times New Roman"/>
                <w:sz w:val="20"/>
                <w:szCs w:val="20"/>
              </w:rPr>
            </w:pPr>
          </w:p>
        </w:tc>
        <w:tc>
          <w:tcPr>
            <w:tcW w:w="644" w:type="dxa"/>
          </w:tcPr>
          <w:p w14:paraId="217830CF" w14:textId="12C0F332"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5040" w:type="dxa"/>
            <w:tcBorders>
              <w:bottom w:val="dashed" w:sz="4" w:space="0" w:color="auto"/>
            </w:tcBorders>
          </w:tcPr>
          <w:p w14:paraId="0CB651ED" w14:textId="77777777" w:rsidR="00201DBB" w:rsidRPr="00AC21F0" w:rsidRDefault="00201DBB" w:rsidP="006A0740">
            <w:pPr>
              <w:spacing w:line="240" w:lineRule="atLeast"/>
              <w:jc w:val="both"/>
              <w:rPr>
                <w:rFonts w:ascii="Times New Roman" w:eastAsia="Times New Roman" w:hAnsi="Times New Roman" w:cs="Times New Roman"/>
                <w:sz w:val="20"/>
                <w:szCs w:val="20"/>
                <w:lang w:val="sq-AL" w:eastAsia="sq-AL"/>
              </w:rPr>
            </w:pPr>
            <w:bookmarkStart w:id="2" w:name="_Hlk228435754"/>
            <w:r w:rsidRPr="00AC21F0">
              <w:rPr>
                <w:rFonts w:ascii="Times New Roman" w:eastAsia="Times New Roman" w:hAnsi="Times New Roman" w:cs="Times New Roman"/>
                <w:sz w:val="20"/>
                <w:szCs w:val="20"/>
                <w:lang w:val="sq-AL" w:eastAsia="sq-AL"/>
              </w:rPr>
              <w:t>1.</w:t>
            </w:r>
            <w:r w:rsidRPr="00AC21F0">
              <w:rPr>
                <w:rFonts w:ascii="Times New Roman" w:eastAsia="Times New Roman" w:hAnsi="Times New Roman" w:cs="Times New Roman"/>
                <w:sz w:val="20"/>
                <w:szCs w:val="20"/>
                <w:lang w:val="sq-AL" w:eastAsia="sq-AL"/>
              </w:rPr>
              <w:tab/>
              <w:t>For the purposes of this Law, the following terms shall have the following meanings:</w:t>
            </w:r>
          </w:p>
          <w:p w14:paraId="4971A579" w14:textId="77777777" w:rsidR="00201DBB" w:rsidRPr="00AC21F0" w:rsidRDefault="00201DBB" w:rsidP="006A0740">
            <w:pPr>
              <w:spacing w:line="240" w:lineRule="atLeast"/>
              <w:jc w:val="both"/>
              <w:rPr>
                <w:rFonts w:ascii="Times New Roman" w:eastAsia="Times New Roman" w:hAnsi="Times New Roman" w:cs="Times New Roman"/>
                <w:sz w:val="20"/>
                <w:szCs w:val="20"/>
                <w:lang w:val="sq-AL" w:eastAsia="sq-AL"/>
              </w:rPr>
            </w:pPr>
          </w:p>
          <w:p w14:paraId="27E5EB86" w14:textId="42583851" w:rsidR="00201DBB" w:rsidRPr="00AC21F0" w:rsidRDefault="00201DBB" w:rsidP="006A0740">
            <w:pPr>
              <w:spacing w:line="240" w:lineRule="atLeast"/>
              <w:jc w:val="both"/>
              <w:rPr>
                <w:rFonts w:ascii="Times New Roman" w:eastAsia="Times New Roman" w:hAnsi="Times New Roman" w:cs="Times New Roman"/>
                <w:sz w:val="20"/>
                <w:szCs w:val="20"/>
                <w:lang w:val="sq-AL" w:eastAsia="sq-AL"/>
              </w:rPr>
            </w:pPr>
            <w:r w:rsidRPr="00AC21F0">
              <w:rPr>
                <w:rFonts w:ascii="Times New Roman" w:eastAsia="Times New Roman" w:hAnsi="Times New Roman" w:cs="Times New Roman"/>
                <w:sz w:val="20"/>
                <w:szCs w:val="20"/>
                <w:lang w:val="sq-AL" w:eastAsia="sq-AL"/>
              </w:rPr>
              <w:t>a)</w:t>
            </w:r>
            <w:r w:rsidRPr="00AC21F0">
              <w:rPr>
                <w:rFonts w:ascii="Times New Roman" w:eastAsia="Times New Roman" w:hAnsi="Times New Roman" w:cs="Times New Roman"/>
                <w:sz w:val="20"/>
                <w:szCs w:val="20"/>
                <w:lang w:val="sq-AL" w:eastAsia="sq-AL"/>
              </w:rPr>
              <w:tab/>
              <w:t>“Electronic System of Information on Cross-Border Payments” means the electronic platform of the European Commission established pursuant to Council Regulation (EU) No. 904/2010, as amended</w:t>
            </w:r>
            <w:r w:rsidR="00BF1CFB" w:rsidRPr="00AC21F0">
              <w:rPr>
                <w:rFonts w:ascii="Times New Roman" w:eastAsia="Times New Roman" w:hAnsi="Times New Roman" w:cs="Times New Roman"/>
                <w:sz w:val="20"/>
                <w:szCs w:val="20"/>
                <w:lang w:val="sq-AL" w:eastAsia="sq-AL"/>
              </w:rPr>
              <w:t>.</w:t>
            </w:r>
            <w:r w:rsidRPr="00AC21F0">
              <w:rPr>
                <w:rFonts w:ascii="Times New Roman" w:eastAsia="Times New Roman" w:hAnsi="Times New Roman" w:cs="Times New Roman"/>
                <w:sz w:val="20"/>
                <w:szCs w:val="20"/>
                <w:lang w:val="sq-AL" w:eastAsia="sq-AL"/>
              </w:rPr>
              <w:t xml:space="preserve"> </w:t>
            </w:r>
          </w:p>
          <w:p w14:paraId="3A8941FB" w14:textId="4D75654D" w:rsidR="00201DBB" w:rsidRPr="00AC21F0" w:rsidRDefault="00201DBB" w:rsidP="006A0740">
            <w:pPr>
              <w:spacing w:line="240" w:lineRule="atLeast"/>
              <w:jc w:val="both"/>
              <w:rPr>
                <w:rFonts w:ascii="Times New Roman" w:eastAsia="Times New Roman" w:hAnsi="Times New Roman" w:cs="Times New Roman"/>
                <w:sz w:val="20"/>
                <w:szCs w:val="20"/>
                <w:lang w:val="sq-AL" w:eastAsia="sq-AL"/>
              </w:rPr>
            </w:pPr>
            <w:r w:rsidRPr="00AC21F0">
              <w:rPr>
                <w:rFonts w:ascii="Times New Roman" w:eastAsia="Times New Roman" w:hAnsi="Times New Roman" w:cs="Times New Roman"/>
                <w:sz w:val="20"/>
                <w:szCs w:val="20"/>
                <w:lang w:val="sq-AL" w:eastAsia="sq-AL"/>
              </w:rPr>
              <w:t>b)</w:t>
            </w:r>
            <w:r w:rsidRPr="00AC21F0">
              <w:rPr>
                <w:rFonts w:ascii="Times New Roman" w:eastAsia="Times New Roman" w:hAnsi="Times New Roman" w:cs="Times New Roman"/>
                <w:sz w:val="20"/>
                <w:szCs w:val="20"/>
                <w:lang w:val="sq-AL" w:eastAsia="sq-AL"/>
              </w:rPr>
              <w:tab/>
              <w:t xml:space="preserve">The term “Payment service provider” shall have the same meanings as defined in the law </w:t>
            </w:r>
            <w:r w:rsidR="00BF1CFB" w:rsidRPr="00AC21F0">
              <w:rPr>
                <w:rFonts w:ascii="Times New Roman" w:eastAsia="Times New Roman" w:hAnsi="Times New Roman" w:cs="Times New Roman"/>
                <w:sz w:val="20"/>
                <w:szCs w:val="20"/>
                <w:lang w:val="sq-AL" w:eastAsia="sq-AL"/>
              </w:rPr>
              <w:t xml:space="preserve">no. 55/2020 </w:t>
            </w:r>
            <w:r w:rsidRPr="00AC21F0">
              <w:rPr>
                <w:rFonts w:ascii="Times New Roman" w:eastAsia="Times New Roman" w:hAnsi="Times New Roman" w:cs="Times New Roman"/>
                <w:sz w:val="20"/>
                <w:szCs w:val="20"/>
                <w:lang w:val="sq-AL" w:eastAsia="sq-AL"/>
              </w:rPr>
              <w:t>“</w:t>
            </w:r>
            <w:r w:rsidR="00BF1CFB" w:rsidRPr="00AC21F0">
              <w:rPr>
                <w:rFonts w:ascii="Times New Roman" w:eastAsia="Times New Roman" w:hAnsi="Times New Roman" w:cs="Times New Roman"/>
                <w:sz w:val="20"/>
                <w:szCs w:val="20"/>
                <w:lang w:val="sq-AL" w:eastAsia="sq-AL"/>
              </w:rPr>
              <w:t>O</w:t>
            </w:r>
            <w:r w:rsidRPr="00AC21F0">
              <w:rPr>
                <w:rFonts w:ascii="Times New Roman" w:eastAsia="Times New Roman" w:hAnsi="Times New Roman" w:cs="Times New Roman"/>
                <w:sz w:val="20"/>
                <w:szCs w:val="20"/>
                <w:lang w:val="sq-AL" w:eastAsia="sq-AL"/>
              </w:rPr>
              <w:t>n Payment Services”.</w:t>
            </w:r>
          </w:p>
          <w:p w14:paraId="3EB50CE8" w14:textId="2BBC07B3" w:rsidR="00201DBB" w:rsidRPr="00AC21F0" w:rsidRDefault="00201DBB" w:rsidP="006A0740">
            <w:pPr>
              <w:spacing w:line="240" w:lineRule="atLeast"/>
              <w:jc w:val="both"/>
              <w:rPr>
                <w:rFonts w:ascii="Times New Roman" w:eastAsia="Times New Roman" w:hAnsi="Times New Roman" w:cs="Times New Roman"/>
                <w:sz w:val="20"/>
                <w:szCs w:val="20"/>
                <w:lang w:val="sq-AL" w:eastAsia="sq-AL"/>
              </w:rPr>
            </w:pPr>
            <w:r w:rsidRPr="00AC21F0">
              <w:rPr>
                <w:rFonts w:ascii="Times New Roman" w:eastAsia="Times New Roman" w:hAnsi="Times New Roman" w:cs="Times New Roman"/>
                <w:sz w:val="20"/>
                <w:szCs w:val="20"/>
                <w:lang w:val="sq-AL" w:eastAsia="sq-AL"/>
              </w:rPr>
              <w:t>c)</w:t>
            </w:r>
            <w:r w:rsidRPr="00AC21F0">
              <w:rPr>
                <w:rFonts w:ascii="Times New Roman" w:eastAsia="Times New Roman" w:hAnsi="Times New Roman" w:cs="Times New Roman"/>
                <w:sz w:val="20"/>
                <w:szCs w:val="20"/>
                <w:lang w:val="sq-AL" w:eastAsia="sq-AL"/>
              </w:rPr>
              <w:tab/>
              <w:t xml:space="preserve">“Payer” has the same meaning as defined in the Law </w:t>
            </w:r>
            <w:r w:rsidR="00BF1CFB" w:rsidRPr="00AC21F0">
              <w:rPr>
                <w:rFonts w:ascii="Times New Roman" w:eastAsia="Times New Roman" w:hAnsi="Times New Roman" w:cs="Times New Roman"/>
                <w:sz w:val="20"/>
                <w:szCs w:val="20"/>
                <w:lang w:val="sq-AL" w:eastAsia="sq-AL"/>
              </w:rPr>
              <w:t xml:space="preserve">no. 55/2020 </w:t>
            </w:r>
            <w:r w:rsidRPr="00AC21F0">
              <w:rPr>
                <w:rFonts w:ascii="Times New Roman" w:eastAsia="Times New Roman" w:hAnsi="Times New Roman" w:cs="Times New Roman"/>
                <w:sz w:val="20"/>
                <w:szCs w:val="20"/>
                <w:lang w:val="sq-AL" w:eastAsia="sq-AL"/>
              </w:rPr>
              <w:t>“</w:t>
            </w:r>
            <w:r w:rsidR="00BF1CFB" w:rsidRPr="00AC21F0">
              <w:rPr>
                <w:rFonts w:ascii="Times New Roman" w:eastAsia="Times New Roman" w:hAnsi="Times New Roman" w:cs="Times New Roman"/>
                <w:sz w:val="20"/>
                <w:szCs w:val="20"/>
                <w:lang w:val="sq-AL" w:eastAsia="sq-AL"/>
              </w:rPr>
              <w:t xml:space="preserve">On </w:t>
            </w:r>
            <w:r w:rsidRPr="00AC21F0">
              <w:rPr>
                <w:rFonts w:ascii="Times New Roman" w:eastAsia="Times New Roman" w:hAnsi="Times New Roman" w:cs="Times New Roman"/>
                <w:sz w:val="20"/>
                <w:szCs w:val="20"/>
                <w:lang w:val="sq-AL" w:eastAsia="sq-AL"/>
              </w:rPr>
              <w:t>Payment Services.”</w:t>
            </w:r>
          </w:p>
          <w:p w14:paraId="42BCE823" w14:textId="678037DD" w:rsidR="00201DBB" w:rsidRPr="00AC21F0" w:rsidRDefault="00201DBB" w:rsidP="006A0740">
            <w:pPr>
              <w:spacing w:line="240" w:lineRule="atLeast"/>
              <w:jc w:val="both"/>
              <w:rPr>
                <w:rFonts w:ascii="Times New Roman" w:eastAsia="Times New Roman" w:hAnsi="Times New Roman" w:cs="Times New Roman"/>
                <w:sz w:val="20"/>
                <w:szCs w:val="20"/>
                <w:lang w:val="sq-AL" w:eastAsia="sq-AL"/>
              </w:rPr>
            </w:pPr>
            <w:r w:rsidRPr="00AC21F0">
              <w:rPr>
                <w:rFonts w:ascii="Times New Roman" w:eastAsia="Times New Roman" w:hAnsi="Times New Roman" w:cs="Times New Roman"/>
                <w:sz w:val="20"/>
                <w:szCs w:val="20"/>
                <w:lang w:val="sq-AL" w:eastAsia="sq-AL"/>
              </w:rPr>
              <w:t>d)</w:t>
            </w:r>
            <w:r w:rsidRPr="00AC21F0">
              <w:rPr>
                <w:rFonts w:ascii="Times New Roman" w:eastAsia="Times New Roman" w:hAnsi="Times New Roman" w:cs="Times New Roman"/>
                <w:sz w:val="20"/>
                <w:szCs w:val="20"/>
                <w:lang w:val="sq-AL" w:eastAsia="sq-AL"/>
              </w:rPr>
              <w:tab/>
              <w:t xml:space="preserve">“Payee” has the same meaning as defined in the Law </w:t>
            </w:r>
            <w:r w:rsidR="00BF1CFB" w:rsidRPr="00AC21F0">
              <w:rPr>
                <w:rFonts w:ascii="Times New Roman" w:eastAsia="Times New Roman" w:hAnsi="Times New Roman" w:cs="Times New Roman"/>
                <w:sz w:val="20"/>
                <w:szCs w:val="20"/>
                <w:lang w:val="sq-AL" w:eastAsia="sq-AL"/>
              </w:rPr>
              <w:t xml:space="preserve">no. 55/2020 </w:t>
            </w:r>
            <w:r w:rsidRPr="00AC21F0">
              <w:rPr>
                <w:rFonts w:ascii="Times New Roman" w:eastAsia="Times New Roman" w:hAnsi="Times New Roman" w:cs="Times New Roman"/>
                <w:sz w:val="20"/>
                <w:szCs w:val="20"/>
                <w:lang w:val="sq-AL" w:eastAsia="sq-AL"/>
              </w:rPr>
              <w:t>“</w:t>
            </w:r>
            <w:r w:rsidR="00BF1CFB" w:rsidRPr="00AC21F0">
              <w:rPr>
                <w:rFonts w:ascii="Times New Roman" w:eastAsia="Times New Roman" w:hAnsi="Times New Roman" w:cs="Times New Roman"/>
                <w:sz w:val="20"/>
                <w:szCs w:val="20"/>
                <w:lang w:val="sq-AL" w:eastAsia="sq-AL"/>
              </w:rPr>
              <w:t xml:space="preserve">On </w:t>
            </w:r>
            <w:r w:rsidRPr="00AC21F0">
              <w:rPr>
                <w:rFonts w:ascii="Times New Roman" w:eastAsia="Times New Roman" w:hAnsi="Times New Roman" w:cs="Times New Roman"/>
                <w:sz w:val="20"/>
                <w:szCs w:val="20"/>
                <w:lang w:val="sq-AL" w:eastAsia="sq-AL"/>
              </w:rPr>
              <w:t>Payment Services.”</w:t>
            </w:r>
          </w:p>
          <w:p w14:paraId="642267F8" w14:textId="77777777" w:rsidR="00201DBB" w:rsidRPr="00AC21F0" w:rsidRDefault="00201DBB" w:rsidP="006A0740">
            <w:pPr>
              <w:spacing w:line="240" w:lineRule="atLeast"/>
              <w:jc w:val="both"/>
              <w:rPr>
                <w:rFonts w:ascii="Times New Roman" w:eastAsia="Times New Roman" w:hAnsi="Times New Roman" w:cs="Times New Roman"/>
                <w:sz w:val="20"/>
                <w:szCs w:val="20"/>
                <w:lang w:val="sq-AL" w:eastAsia="sq-AL"/>
              </w:rPr>
            </w:pPr>
            <w:r w:rsidRPr="00AC21F0">
              <w:rPr>
                <w:rFonts w:ascii="Times New Roman" w:eastAsia="Times New Roman" w:hAnsi="Times New Roman" w:cs="Times New Roman"/>
                <w:sz w:val="20"/>
                <w:szCs w:val="20"/>
                <w:lang w:val="sq-AL" w:eastAsia="sq-AL"/>
              </w:rPr>
              <w:t>e)</w:t>
            </w:r>
            <w:r w:rsidRPr="00AC21F0">
              <w:rPr>
                <w:rFonts w:ascii="Times New Roman" w:eastAsia="Times New Roman" w:hAnsi="Times New Roman" w:cs="Times New Roman"/>
                <w:sz w:val="20"/>
                <w:szCs w:val="20"/>
                <w:lang w:val="sq-AL" w:eastAsia="sq-AL"/>
              </w:rPr>
              <w:tab/>
              <w:t>“Reporting” means the obligation of the payment service provider to collect, process and transmit information on cross-border payments and their payees to the tax administration, in accordance with the conditions, formats and deadlines laid down in this Law and the sublegal acts issued for its implementation.</w:t>
            </w:r>
          </w:p>
          <w:p w14:paraId="16FB8C75" w14:textId="77777777" w:rsidR="00201DBB" w:rsidRPr="00AC21F0" w:rsidRDefault="00201DBB" w:rsidP="006A0740">
            <w:pPr>
              <w:spacing w:line="240" w:lineRule="atLeast"/>
              <w:jc w:val="both"/>
              <w:rPr>
                <w:rFonts w:ascii="Times New Roman" w:eastAsia="Times New Roman" w:hAnsi="Times New Roman" w:cs="Times New Roman"/>
                <w:sz w:val="20"/>
                <w:szCs w:val="20"/>
                <w:lang w:val="sq-AL" w:eastAsia="sq-AL"/>
              </w:rPr>
            </w:pPr>
            <w:r w:rsidRPr="00AC21F0">
              <w:rPr>
                <w:rFonts w:ascii="Times New Roman" w:eastAsia="Times New Roman" w:hAnsi="Times New Roman" w:cs="Times New Roman"/>
                <w:sz w:val="20"/>
                <w:szCs w:val="20"/>
                <w:lang w:val="sq-AL" w:eastAsia="sq-AL"/>
              </w:rPr>
              <w:t>f)</w:t>
            </w:r>
            <w:r w:rsidRPr="00AC21F0">
              <w:rPr>
                <w:rFonts w:ascii="Times New Roman" w:eastAsia="Times New Roman" w:hAnsi="Times New Roman" w:cs="Times New Roman"/>
                <w:sz w:val="20"/>
                <w:szCs w:val="20"/>
                <w:lang w:val="sq-AL" w:eastAsia="sq-AL"/>
              </w:rPr>
              <w:tab/>
              <w:t>“Home Member State” has the same meaning as defined in the Law “on Payment Services.”</w:t>
            </w:r>
          </w:p>
          <w:p w14:paraId="4B48258B" w14:textId="77777777" w:rsidR="00201DBB" w:rsidRPr="00AC21F0" w:rsidRDefault="00201DBB" w:rsidP="006A0740">
            <w:pPr>
              <w:spacing w:line="240" w:lineRule="atLeast"/>
              <w:jc w:val="both"/>
              <w:rPr>
                <w:rFonts w:ascii="Times New Roman" w:eastAsia="Times New Roman" w:hAnsi="Times New Roman" w:cs="Times New Roman"/>
                <w:sz w:val="20"/>
                <w:szCs w:val="20"/>
                <w:lang w:val="sq-AL" w:eastAsia="sq-AL"/>
              </w:rPr>
            </w:pPr>
            <w:r w:rsidRPr="00AC21F0">
              <w:rPr>
                <w:rFonts w:ascii="Times New Roman" w:eastAsia="Times New Roman" w:hAnsi="Times New Roman" w:cs="Times New Roman"/>
                <w:sz w:val="20"/>
                <w:szCs w:val="20"/>
                <w:lang w:val="sq-AL" w:eastAsia="sq-AL"/>
              </w:rPr>
              <w:t>g)</w:t>
            </w:r>
            <w:r w:rsidRPr="00AC21F0">
              <w:rPr>
                <w:rFonts w:ascii="Times New Roman" w:eastAsia="Times New Roman" w:hAnsi="Times New Roman" w:cs="Times New Roman"/>
                <w:sz w:val="20"/>
                <w:szCs w:val="20"/>
                <w:lang w:val="sq-AL" w:eastAsia="sq-AL"/>
              </w:rPr>
              <w:tab/>
              <w:t>“Host Member State” has the same meaning as defined in the Law “on Payment Services.”</w:t>
            </w:r>
          </w:p>
          <w:p w14:paraId="29D51273" w14:textId="77777777" w:rsidR="00201DBB" w:rsidRPr="00AC21F0" w:rsidRDefault="00201DBB" w:rsidP="006A0740">
            <w:pPr>
              <w:spacing w:line="240" w:lineRule="atLeast"/>
              <w:jc w:val="both"/>
              <w:rPr>
                <w:rFonts w:ascii="Times New Roman" w:eastAsia="Times New Roman" w:hAnsi="Times New Roman" w:cs="Times New Roman"/>
                <w:sz w:val="20"/>
                <w:szCs w:val="20"/>
                <w:lang w:val="sq-AL" w:eastAsia="sq-AL"/>
              </w:rPr>
            </w:pPr>
            <w:r w:rsidRPr="00AC21F0">
              <w:rPr>
                <w:rFonts w:ascii="Times New Roman" w:eastAsia="Times New Roman" w:hAnsi="Times New Roman" w:cs="Times New Roman"/>
                <w:sz w:val="20"/>
                <w:szCs w:val="20"/>
                <w:lang w:val="sq-AL" w:eastAsia="sq-AL"/>
              </w:rPr>
              <w:t>h)</w:t>
            </w:r>
            <w:r w:rsidRPr="00AC21F0">
              <w:rPr>
                <w:rFonts w:ascii="Times New Roman" w:eastAsia="Times New Roman" w:hAnsi="Times New Roman" w:cs="Times New Roman"/>
                <w:sz w:val="20"/>
                <w:szCs w:val="20"/>
                <w:lang w:val="sq-AL" w:eastAsia="sq-AL"/>
              </w:rPr>
              <w:tab/>
              <w:t xml:space="preserve">“IBAN” means the unique international bank account number of the payee .  </w:t>
            </w:r>
          </w:p>
          <w:p w14:paraId="6E318E28" w14:textId="3CEC1152" w:rsidR="00201DBB" w:rsidRPr="00AC21F0" w:rsidRDefault="00201DBB" w:rsidP="006A0740">
            <w:pPr>
              <w:spacing w:line="240" w:lineRule="atLeast"/>
              <w:jc w:val="both"/>
              <w:rPr>
                <w:rFonts w:ascii="Times New Roman" w:eastAsia="Times New Roman" w:hAnsi="Times New Roman" w:cs="Times New Roman"/>
                <w:sz w:val="20"/>
                <w:szCs w:val="20"/>
                <w:lang w:val="sq-AL" w:eastAsia="sq-AL"/>
              </w:rPr>
            </w:pPr>
            <w:r w:rsidRPr="00AC21F0">
              <w:rPr>
                <w:rFonts w:ascii="Times New Roman" w:eastAsia="Times New Roman" w:hAnsi="Times New Roman" w:cs="Times New Roman"/>
                <w:sz w:val="20"/>
                <w:szCs w:val="20"/>
                <w:lang w:val="sq-AL" w:eastAsia="sq-AL"/>
              </w:rPr>
              <w:t>i)</w:t>
            </w:r>
            <w:r w:rsidRPr="00AC21F0">
              <w:rPr>
                <w:rFonts w:ascii="Times New Roman" w:eastAsia="Times New Roman" w:hAnsi="Times New Roman" w:cs="Times New Roman"/>
                <w:sz w:val="20"/>
                <w:szCs w:val="20"/>
                <w:lang w:val="sq-AL" w:eastAsia="sq-AL"/>
              </w:rPr>
              <w:tab/>
            </w:r>
            <w:r w:rsidR="00BF1CFB" w:rsidRPr="00AC21F0">
              <w:rPr>
                <w:rFonts w:ascii="Times New Roman" w:hAnsi="Times New Roman" w:cs="Times New Roman"/>
                <w:bCs/>
                <w:sz w:val="20"/>
                <w:szCs w:val="20"/>
              </w:rPr>
              <w:t>“Cross-border payment transaction” is a payment transaction initiated by a payer or a payee where the payment service provider of the payer and the payment service provider of the payee are located in different Member States.</w:t>
            </w:r>
          </w:p>
          <w:p w14:paraId="7E278033" w14:textId="77777777" w:rsidR="00201DBB" w:rsidRPr="00AC21F0" w:rsidRDefault="00201DBB" w:rsidP="006A0740">
            <w:pPr>
              <w:spacing w:line="240" w:lineRule="atLeast"/>
              <w:jc w:val="both"/>
              <w:rPr>
                <w:rFonts w:ascii="Times New Roman" w:eastAsia="Times New Roman" w:hAnsi="Times New Roman" w:cs="Times New Roman"/>
                <w:sz w:val="20"/>
                <w:szCs w:val="20"/>
                <w:lang w:val="sq-AL" w:eastAsia="sq-AL"/>
              </w:rPr>
            </w:pPr>
            <w:r w:rsidRPr="00AC21F0">
              <w:rPr>
                <w:rFonts w:ascii="Times New Roman" w:eastAsia="Times New Roman" w:hAnsi="Times New Roman" w:cs="Times New Roman"/>
                <w:sz w:val="20"/>
                <w:szCs w:val="20"/>
                <w:lang w:val="sq-AL" w:eastAsia="sq-AL"/>
              </w:rPr>
              <w:lastRenderedPageBreak/>
              <w:t>j)</w:t>
            </w:r>
            <w:r w:rsidRPr="00AC21F0">
              <w:rPr>
                <w:rFonts w:ascii="Times New Roman" w:eastAsia="Times New Roman" w:hAnsi="Times New Roman" w:cs="Times New Roman"/>
                <w:sz w:val="20"/>
                <w:szCs w:val="20"/>
                <w:lang w:val="sq-AL" w:eastAsia="sq-AL"/>
              </w:rPr>
              <w:tab/>
              <w:t xml:space="preserve">“BIC” means the unique international code identifying the financial institution responsible for the cross-border payment. </w:t>
            </w:r>
          </w:p>
          <w:p w14:paraId="4C6E257A" w14:textId="77777777" w:rsidR="00201DBB" w:rsidRPr="00AC21F0" w:rsidRDefault="00201DBB" w:rsidP="006A0740">
            <w:pPr>
              <w:spacing w:line="240" w:lineRule="atLeast"/>
              <w:jc w:val="both"/>
              <w:rPr>
                <w:rFonts w:ascii="Times New Roman" w:eastAsia="Times New Roman" w:hAnsi="Times New Roman" w:cs="Times New Roman"/>
                <w:sz w:val="20"/>
                <w:szCs w:val="20"/>
                <w:lang w:val="sq-AL" w:eastAsia="sq-AL"/>
              </w:rPr>
            </w:pPr>
            <w:r w:rsidRPr="00AC21F0">
              <w:rPr>
                <w:rFonts w:ascii="Times New Roman" w:eastAsia="Times New Roman" w:hAnsi="Times New Roman" w:cs="Times New Roman"/>
                <w:sz w:val="20"/>
                <w:szCs w:val="20"/>
                <w:lang w:val="sq-AL" w:eastAsia="sq-AL"/>
              </w:rPr>
              <w:t>k)</w:t>
            </w:r>
            <w:r w:rsidRPr="00AC21F0">
              <w:rPr>
                <w:rFonts w:ascii="Times New Roman" w:eastAsia="Times New Roman" w:hAnsi="Times New Roman" w:cs="Times New Roman"/>
                <w:sz w:val="20"/>
                <w:szCs w:val="20"/>
                <w:lang w:val="sq-AL" w:eastAsia="sq-AL"/>
              </w:rPr>
              <w:tab/>
              <w:t xml:space="preserve"> “Third territory” means a territory which is part of a Member State of the European Union but does not form part of the territory of the European Union for VAT purposes.</w:t>
            </w:r>
          </w:p>
          <w:p w14:paraId="6F822B37" w14:textId="38A0AA63" w:rsidR="00A761D4" w:rsidRPr="00AC21F0" w:rsidRDefault="00201DBB" w:rsidP="006A0740">
            <w:pPr>
              <w:spacing w:line="240" w:lineRule="atLeast"/>
              <w:jc w:val="both"/>
              <w:rPr>
                <w:rFonts w:ascii="Times New Roman" w:eastAsia="Times New Roman" w:hAnsi="Times New Roman" w:cs="Times New Roman"/>
                <w:sz w:val="20"/>
                <w:szCs w:val="20"/>
                <w:lang w:val="sq-AL" w:eastAsia="sq-AL"/>
              </w:rPr>
            </w:pPr>
            <w:r w:rsidRPr="00AC21F0">
              <w:rPr>
                <w:rFonts w:ascii="Times New Roman" w:eastAsia="Times New Roman" w:hAnsi="Times New Roman" w:cs="Times New Roman"/>
                <w:sz w:val="20"/>
                <w:szCs w:val="20"/>
                <w:lang w:val="sq-AL" w:eastAsia="sq-AL"/>
              </w:rPr>
              <w:t>l)</w:t>
            </w:r>
            <w:r w:rsidRPr="00AC21F0">
              <w:rPr>
                <w:rFonts w:ascii="Times New Roman" w:eastAsia="Times New Roman" w:hAnsi="Times New Roman" w:cs="Times New Roman"/>
                <w:sz w:val="20"/>
                <w:szCs w:val="20"/>
                <w:lang w:val="sq-AL" w:eastAsia="sq-AL"/>
              </w:rPr>
              <w:tab/>
              <w:t xml:space="preserve"> “Third country” means any jurisdiction that is not a Member State of the European Union.</w:t>
            </w:r>
          </w:p>
          <w:bookmarkEnd w:id="2"/>
          <w:p w14:paraId="1AF536FD" w14:textId="7C743FCF" w:rsidR="003C045B" w:rsidRPr="00AC21F0" w:rsidRDefault="003C045B" w:rsidP="006A0740">
            <w:pPr>
              <w:spacing w:line="240" w:lineRule="atLeast"/>
              <w:rPr>
                <w:rFonts w:ascii="Times New Roman" w:eastAsia="Calibri" w:hAnsi="Times New Roman" w:cs="Times New Roman"/>
                <w:sz w:val="20"/>
                <w:szCs w:val="20"/>
              </w:rPr>
            </w:pPr>
          </w:p>
        </w:tc>
        <w:tc>
          <w:tcPr>
            <w:tcW w:w="720" w:type="dxa"/>
            <w:tcBorders>
              <w:bottom w:val="dashed" w:sz="4" w:space="0" w:color="auto"/>
            </w:tcBorders>
          </w:tcPr>
          <w:p w14:paraId="4C4B4DD1" w14:textId="54EC29F6" w:rsidR="003C045B" w:rsidRPr="00AC21F0" w:rsidRDefault="003C045B" w:rsidP="006A0740">
            <w:pPr>
              <w:spacing w:line="240" w:lineRule="atLeast"/>
              <w:jc w:val="center"/>
              <w:rPr>
                <w:rFonts w:ascii="Times New Roman" w:eastAsia="Calibri" w:hAnsi="Times New Roman" w:cs="Times New Roman"/>
                <w:sz w:val="20"/>
                <w:szCs w:val="20"/>
                <w:lang w:val="en-US"/>
              </w:rPr>
            </w:pPr>
            <w:r w:rsidRPr="00AC21F0">
              <w:rPr>
                <w:rFonts w:ascii="Times New Roman" w:eastAsia="Calibri" w:hAnsi="Times New Roman" w:cs="Times New Roman"/>
                <w:sz w:val="20"/>
                <w:szCs w:val="20"/>
                <w:lang w:val="en-US"/>
              </w:rPr>
              <w:lastRenderedPageBreak/>
              <w:t>F</w:t>
            </w:r>
          </w:p>
        </w:tc>
        <w:tc>
          <w:tcPr>
            <w:tcW w:w="3510" w:type="dxa"/>
            <w:tcBorders>
              <w:bottom w:val="dashed" w:sz="4" w:space="0" w:color="auto"/>
            </w:tcBorders>
          </w:tcPr>
          <w:p w14:paraId="1A9ABFDA" w14:textId="64884101" w:rsidR="00F07018" w:rsidRPr="00AC21F0" w:rsidRDefault="003C045B" w:rsidP="006A0740">
            <w:pPr>
              <w:spacing w:line="240" w:lineRule="atLeast"/>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Fully compliant</w:t>
            </w:r>
            <w:r w:rsidR="00F07018" w:rsidRPr="00AC21F0">
              <w:rPr>
                <w:rFonts w:ascii="Times New Roman" w:eastAsia="Times New Roman" w:hAnsi="Times New Roman" w:cs="Times New Roman"/>
                <w:sz w:val="20"/>
                <w:szCs w:val="20"/>
              </w:rPr>
              <w:t>.</w:t>
            </w:r>
          </w:p>
          <w:p w14:paraId="16C99F27" w14:textId="3E4679AD" w:rsidR="003C045B" w:rsidRPr="00AC21F0" w:rsidRDefault="003C045B" w:rsidP="006A0740">
            <w:pPr>
              <w:spacing w:line="240" w:lineRule="atLeast"/>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Article 4 sets out key terms and concepts of cross-border payments, harmonizing terminology with Directive 2020/284, Article 243a of Directive 2006/112/EC</w:t>
            </w:r>
          </w:p>
          <w:p w14:paraId="703D65DD" w14:textId="77777777" w:rsidR="003344C0" w:rsidRPr="00AC21F0" w:rsidRDefault="003344C0" w:rsidP="006A0740">
            <w:pPr>
              <w:spacing w:line="240" w:lineRule="atLeast"/>
              <w:rPr>
                <w:rFonts w:ascii="Times New Roman" w:eastAsia="Times New Roman" w:hAnsi="Times New Roman" w:cs="Times New Roman"/>
                <w:color w:val="FF0000"/>
                <w:sz w:val="20"/>
                <w:szCs w:val="20"/>
              </w:rPr>
            </w:pPr>
          </w:p>
          <w:p w14:paraId="4752D6D7" w14:textId="77777777" w:rsidR="00F07018" w:rsidRPr="00AC21F0" w:rsidRDefault="00F07018" w:rsidP="006A0740">
            <w:pPr>
              <w:spacing w:before="100" w:beforeAutospacing="1" w:after="100" w:afterAutospacing="1" w:line="240" w:lineRule="atLeast"/>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For certain definitions, Directive (EU) 2020/283 refers to Article 4 of Directive (EU) 2015/2366, which has been transposed into Law No. 55/2015 “On Payment Services.” In the proposed amendments to Law No. 55/2020 by the Bank of Albania, within the framework of Chapter 4, the following terms are included, quoted as follows:</w:t>
            </w:r>
          </w:p>
          <w:p w14:paraId="5008D8A3" w14:textId="77777777" w:rsidR="00F07018" w:rsidRPr="00AC21F0" w:rsidRDefault="00F07018" w:rsidP="006A0740">
            <w:pPr>
              <w:spacing w:before="100" w:beforeAutospacing="1" w:after="100" w:afterAutospacing="1" w:line="240" w:lineRule="atLeast"/>
              <w:rPr>
                <w:rFonts w:ascii="Times New Roman" w:eastAsia="Times New Roman" w:hAnsi="Times New Roman" w:cs="Times New Roman"/>
                <w:i/>
                <w:iCs/>
                <w:sz w:val="20"/>
                <w:szCs w:val="20"/>
              </w:rPr>
            </w:pPr>
            <w:r w:rsidRPr="00AC21F0">
              <w:rPr>
                <w:rFonts w:ascii="Times New Roman" w:eastAsia="Times New Roman" w:hAnsi="Times New Roman" w:cs="Times New Roman"/>
                <w:i/>
                <w:iCs/>
                <w:sz w:val="20"/>
                <w:szCs w:val="20"/>
              </w:rPr>
              <w:t>“40/1. ‘Member State’ means a Member State of the European Union or a state party to the Agreement on the Establishment of the European Economic Area.</w:t>
            </w:r>
          </w:p>
          <w:p w14:paraId="7E6BB995" w14:textId="77777777" w:rsidR="00F07018" w:rsidRPr="00AC21F0" w:rsidRDefault="00F07018" w:rsidP="006A0740">
            <w:pPr>
              <w:spacing w:before="100" w:beforeAutospacing="1" w:after="100" w:afterAutospacing="1" w:line="240" w:lineRule="atLeast"/>
              <w:rPr>
                <w:rFonts w:ascii="Times New Roman" w:eastAsia="Times New Roman" w:hAnsi="Times New Roman" w:cs="Times New Roman"/>
                <w:i/>
                <w:iCs/>
                <w:sz w:val="20"/>
                <w:szCs w:val="20"/>
              </w:rPr>
            </w:pPr>
            <w:r w:rsidRPr="00AC21F0">
              <w:rPr>
                <w:rFonts w:ascii="Times New Roman" w:eastAsia="Times New Roman" w:hAnsi="Times New Roman" w:cs="Times New Roman"/>
                <w:i/>
                <w:iCs/>
                <w:sz w:val="20"/>
                <w:szCs w:val="20"/>
              </w:rPr>
              <w:t>40/2. ‘Home Member State’ means one of the following:</w:t>
            </w:r>
            <w:r w:rsidRPr="00AC21F0">
              <w:rPr>
                <w:rFonts w:ascii="Times New Roman" w:eastAsia="Times New Roman" w:hAnsi="Times New Roman" w:cs="Times New Roman"/>
                <w:i/>
                <w:iCs/>
                <w:sz w:val="20"/>
                <w:szCs w:val="20"/>
              </w:rPr>
              <w:br/>
              <w:t>a) the Member State in which the registered office of the payment service provider is established; or</w:t>
            </w:r>
            <w:r w:rsidRPr="00AC21F0">
              <w:rPr>
                <w:rFonts w:ascii="Times New Roman" w:eastAsia="Times New Roman" w:hAnsi="Times New Roman" w:cs="Times New Roman"/>
                <w:i/>
                <w:iCs/>
                <w:sz w:val="20"/>
                <w:szCs w:val="20"/>
              </w:rPr>
              <w:br/>
              <w:t xml:space="preserve">b) if the payment service provider, under its national law, has no registered office, </w:t>
            </w:r>
            <w:r w:rsidRPr="00AC21F0">
              <w:rPr>
                <w:rFonts w:ascii="Times New Roman" w:eastAsia="Times New Roman" w:hAnsi="Times New Roman" w:cs="Times New Roman"/>
                <w:i/>
                <w:iCs/>
                <w:sz w:val="20"/>
                <w:szCs w:val="20"/>
              </w:rPr>
              <w:lastRenderedPageBreak/>
              <w:t>the Member State in which its head office is established.</w:t>
            </w:r>
          </w:p>
          <w:p w14:paraId="05BB7734" w14:textId="77777777" w:rsidR="00F07018" w:rsidRPr="00AC21F0" w:rsidRDefault="00F07018" w:rsidP="006A0740">
            <w:pPr>
              <w:spacing w:before="100" w:beforeAutospacing="1" w:after="100" w:afterAutospacing="1" w:line="240" w:lineRule="atLeast"/>
              <w:rPr>
                <w:rFonts w:ascii="Times New Roman" w:eastAsia="Times New Roman" w:hAnsi="Times New Roman" w:cs="Times New Roman"/>
                <w:i/>
                <w:iCs/>
                <w:sz w:val="20"/>
                <w:szCs w:val="20"/>
              </w:rPr>
            </w:pPr>
            <w:r w:rsidRPr="00AC21F0">
              <w:rPr>
                <w:rFonts w:ascii="Times New Roman" w:eastAsia="Times New Roman" w:hAnsi="Times New Roman" w:cs="Times New Roman"/>
                <w:i/>
                <w:iCs/>
                <w:sz w:val="20"/>
                <w:szCs w:val="20"/>
              </w:rPr>
              <w:t>40/3. ‘Host Member State’ means a Member State, other than the Home Member State, in which the payment service provider has an agent or a branch, or where it provides payment services.”</w:t>
            </w:r>
          </w:p>
          <w:p w14:paraId="7FF536D2" w14:textId="314584E2" w:rsidR="003344C0" w:rsidRPr="00AC21F0" w:rsidRDefault="003344C0" w:rsidP="006A0740">
            <w:pPr>
              <w:spacing w:line="240" w:lineRule="atLeast"/>
              <w:rPr>
                <w:rFonts w:ascii="Times New Roman" w:eastAsia="Calibri" w:hAnsi="Times New Roman" w:cs="Times New Roman"/>
                <w:sz w:val="20"/>
                <w:szCs w:val="20"/>
                <w:lang w:val="en-US"/>
              </w:rPr>
            </w:pPr>
          </w:p>
        </w:tc>
      </w:tr>
      <w:tr w:rsidR="003C045B" w:rsidRPr="00AC21F0" w14:paraId="176342C5" w14:textId="77777777" w:rsidTr="00990A3C">
        <w:tc>
          <w:tcPr>
            <w:tcW w:w="540" w:type="dxa"/>
            <w:shd w:val="clear" w:color="auto" w:fill="D0CECE" w:themeFill="background2" w:themeFillShade="E6"/>
          </w:tcPr>
          <w:p w14:paraId="5BF8CE7D" w14:textId="4193C503"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shd w:val="clear" w:color="auto" w:fill="D0CECE" w:themeFill="background2" w:themeFillShade="E6"/>
          </w:tcPr>
          <w:p w14:paraId="7316743D" w14:textId="51E10BF0" w:rsidR="003C045B" w:rsidRPr="00AC21F0" w:rsidRDefault="003C045B" w:rsidP="006A0740">
            <w:pPr>
              <w:spacing w:line="240" w:lineRule="atLeast"/>
              <w:jc w:val="both"/>
              <w:rPr>
                <w:rFonts w:ascii="Times New Roman" w:eastAsia="Calibri" w:hAnsi="Times New Roman" w:cs="Times New Roman"/>
                <w:i/>
                <w:iCs/>
                <w:sz w:val="20"/>
                <w:szCs w:val="20"/>
                <w:lang w:val="en-US"/>
              </w:rPr>
            </w:pPr>
          </w:p>
        </w:tc>
        <w:tc>
          <w:tcPr>
            <w:tcW w:w="450" w:type="dxa"/>
            <w:shd w:val="clear" w:color="auto" w:fill="D0CECE" w:themeFill="background2" w:themeFillShade="E6"/>
          </w:tcPr>
          <w:p w14:paraId="3480EEE0" w14:textId="1312C375" w:rsidR="003C045B" w:rsidRPr="00AC21F0" w:rsidRDefault="003C045B" w:rsidP="006A0740">
            <w:pPr>
              <w:spacing w:line="240" w:lineRule="atLeast"/>
              <w:jc w:val="center"/>
              <w:rPr>
                <w:rFonts w:ascii="Times New Roman" w:eastAsia="Calibri" w:hAnsi="Times New Roman" w:cs="Times New Roman"/>
                <w:i/>
                <w:iCs/>
                <w:sz w:val="20"/>
                <w:szCs w:val="20"/>
              </w:rPr>
            </w:pPr>
          </w:p>
        </w:tc>
        <w:tc>
          <w:tcPr>
            <w:tcW w:w="644" w:type="dxa"/>
            <w:shd w:val="clear" w:color="auto" w:fill="D0CECE" w:themeFill="background2" w:themeFillShade="E6"/>
          </w:tcPr>
          <w:p w14:paraId="355EA527" w14:textId="41C73A42" w:rsidR="003C045B" w:rsidRPr="00AC21F0" w:rsidRDefault="003C045B" w:rsidP="006A0740">
            <w:pPr>
              <w:spacing w:line="240" w:lineRule="atLeast"/>
              <w:jc w:val="center"/>
              <w:rPr>
                <w:rFonts w:ascii="Times New Roman" w:eastAsia="Calibri" w:hAnsi="Times New Roman" w:cs="Times New Roman"/>
                <w:i/>
                <w:iCs/>
                <w:sz w:val="20"/>
                <w:szCs w:val="20"/>
                <w:lang w:val="en-US"/>
              </w:rPr>
            </w:pPr>
          </w:p>
        </w:tc>
        <w:tc>
          <w:tcPr>
            <w:tcW w:w="5040" w:type="dxa"/>
            <w:shd w:val="clear" w:color="auto" w:fill="D0CECE" w:themeFill="background2" w:themeFillShade="E6"/>
          </w:tcPr>
          <w:p w14:paraId="4F0B8ADC" w14:textId="77777777" w:rsidR="00201DBB" w:rsidRPr="00AC21F0" w:rsidRDefault="00201DBB" w:rsidP="006A0740">
            <w:pPr>
              <w:spacing w:line="240" w:lineRule="atLeast"/>
              <w:jc w:val="center"/>
              <w:rPr>
                <w:rFonts w:ascii="Times New Roman" w:hAnsi="Times New Roman" w:cs="Times New Roman"/>
                <w:iCs/>
                <w:sz w:val="20"/>
                <w:szCs w:val="20"/>
              </w:rPr>
            </w:pPr>
            <w:r w:rsidRPr="00AC21F0">
              <w:rPr>
                <w:rFonts w:ascii="Times New Roman" w:hAnsi="Times New Roman" w:cs="Times New Roman"/>
                <w:iCs/>
                <w:sz w:val="20"/>
                <w:szCs w:val="20"/>
              </w:rPr>
              <w:t>Article 5</w:t>
            </w:r>
          </w:p>
          <w:p w14:paraId="0AF2ABED" w14:textId="0468CE8A" w:rsidR="003C045B" w:rsidRPr="00AC21F0" w:rsidRDefault="00201DBB" w:rsidP="006A0740">
            <w:pPr>
              <w:spacing w:line="240" w:lineRule="atLeast"/>
              <w:jc w:val="center"/>
              <w:rPr>
                <w:rFonts w:ascii="Times New Roman" w:hAnsi="Times New Roman" w:cs="Times New Roman"/>
                <w:i/>
                <w:iCs/>
                <w:sz w:val="20"/>
                <w:szCs w:val="20"/>
              </w:rPr>
            </w:pPr>
            <w:r w:rsidRPr="00AC21F0">
              <w:rPr>
                <w:rFonts w:ascii="Times New Roman" w:hAnsi="Times New Roman" w:cs="Times New Roman"/>
                <w:iCs/>
                <w:sz w:val="20"/>
                <w:szCs w:val="20"/>
              </w:rPr>
              <w:t>General principles for the exchange of information</w:t>
            </w:r>
          </w:p>
        </w:tc>
        <w:tc>
          <w:tcPr>
            <w:tcW w:w="720" w:type="dxa"/>
            <w:shd w:val="clear" w:color="auto" w:fill="D0CECE" w:themeFill="background2" w:themeFillShade="E6"/>
          </w:tcPr>
          <w:p w14:paraId="1ABA6603" w14:textId="3378F120" w:rsidR="003C045B" w:rsidRPr="00AC21F0" w:rsidRDefault="003C045B" w:rsidP="006A0740">
            <w:pPr>
              <w:spacing w:line="240" w:lineRule="atLeast"/>
              <w:jc w:val="center"/>
              <w:rPr>
                <w:rFonts w:ascii="Times New Roman" w:eastAsia="Calibri" w:hAnsi="Times New Roman" w:cs="Times New Roman"/>
                <w:i/>
                <w:iCs/>
                <w:sz w:val="20"/>
                <w:szCs w:val="20"/>
                <w:lang w:val="en-US"/>
              </w:rPr>
            </w:pPr>
          </w:p>
        </w:tc>
        <w:tc>
          <w:tcPr>
            <w:tcW w:w="3510" w:type="dxa"/>
            <w:shd w:val="clear" w:color="auto" w:fill="D0CECE" w:themeFill="background2" w:themeFillShade="E6"/>
          </w:tcPr>
          <w:p w14:paraId="7BE83C6E" w14:textId="07D4A64D" w:rsidR="003C045B" w:rsidRPr="00AC21F0" w:rsidRDefault="003C045B" w:rsidP="006A0740">
            <w:pPr>
              <w:spacing w:line="240" w:lineRule="atLeast"/>
              <w:rPr>
                <w:rFonts w:ascii="Times New Roman" w:eastAsia="Calibri" w:hAnsi="Times New Roman" w:cs="Times New Roman"/>
                <w:i/>
                <w:iCs/>
                <w:sz w:val="20"/>
                <w:szCs w:val="20"/>
                <w:lang w:val="en-US"/>
              </w:rPr>
            </w:pPr>
          </w:p>
        </w:tc>
      </w:tr>
      <w:tr w:rsidR="003C045B" w:rsidRPr="00AC21F0" w14:paraId="05E7A252" w14:textId="77777777" w:rsidTr="004738EE">
        <w:trPr>
          <w:trHeight w:val="870"/>
        </w:trPr>
        <w:tc>
          <w:tcPr>
            <w:tcW w:w="540" w:type="dxa"/>
          </w:tcPr>
          <w:p w14:paraId="56054E51" w14:textId="1549FBFD"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tcPr>
          <w:p w14:paraId="6AAB437B" w14:textId="77777777" w:rsidR="007C509C" w:rsidRPr="00AC21F0" w:rsidRDefault="007C509C" w:rsidP="006A0740">
            <w:pPr>
              <w:spacing w:line="240" w:lineRule="atLeast"/>
              <w:jc w:val="center"/>
              <w:rPr>
                <w:rFonts w:ascii="Times New Roman" w:eastAsia="Calibri" w:hAnsi="Times New Roman" w:cs="Times New Roman"/>
                <w:iCs/>
                <w:sz w:val="20"/>
                <w:szCs w:val="20"/>
                <w:lang w:val="en-US"/>
              </w:rPr>
            </w:pPr>
          </w:p>
          <w:p w14:paraId="249A4F98" w14:textId="097BBA6B" w:rsidR="003C045B" w:rsidRPr="00AC21F0" w:rsidRDefault="007C509C" w:rsidP="006A0740">
            <w:pPr>
              <w:spacing w:line="240" w:lineRule="atLeast"/>
              <w:jc w:val="center"/>
              <w:rPr>
                <w:rFonts w:ascii="Times New Roman" w:eastAsia="Calibri" w:hAnsi="Times New Roman" w:cs="Times New Roman"/>
                <w:iCs/>
                <w:sz w:val="20"/>
                <w:szCs w:val="20"/>
                <w:lang w:val="en-US"/>
              </w:rPr>
            </w:pPr>
            <w:r w:rsidRPr="00AC21F0">
              <w:rPr>
                <w:rFonts w:ascii="Times New Roman" w:eastAsia="Calibri" w:hAnsi="Times New Roman" w:cs="Times New Roman"/>
                <w:iCs/>
                <w:sz w:val="20"/>
                <w:szCs w:val="20"/>
                <w:lang w:val="en-US"/>
              </w:rPr>
              <w:t>N/A</w:t>
            </w:r>
          </w:p>
        </w:tc>
        <w:tc>
          <w:tcPr>
            <w:tcW w:w="450" w:type="dxa"/>
          </w:tcPr>
          <w:p w14:paraId="59B66D4C" w14:textId="00B84A40" w:rsidR="003C045B" w:rsidRPr="00AC21F0" w:rsidRDefault="003C045B" w:rsidP="006A0740">
            <w:pPr>
              <w:spacing w:line="240" w:lineRule="atLeast"/>
              <w:jc w:val="center"/>
              <w:rPr>
                <w:rFonts w:ascii="Times New Roman" w:eastAsia="Calibri" w:hAnsi="Times New Roman" w:cs="Times New Roman"/>
                <w:sz w:val="20"/>
                <w:szCs w:val="20"/>
              </w:rPr>
            </w:pPr>
          </w:p>
        </w:tc>
        <w:tc>
          <w:tcPr>
            <w:tcW w:w="644" w:type="dxa"/>
          </w:tcPr>
          <w:p w14:paraId="5ABADC9F" w14:textId="7D88B5ED"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5040" w:type="dxa"/>
            <w:tcBorders>
              <w:bottom w:val="dashed" w:sz="4" w:space="0" w:color="auto"/>
            </w:tcBorders>
          </w:tcPr>
          <w:p w14:paraId="0B4DE358" w14:textId="349AE3E7" w:rsidR="003C045B" w:rsidRPr="00AC21F0" w:rsidRDefault="003C045B" w:rsidP="006A0740">
            <w:pPr>
              <w:spacing w:line="240" w:lineRule="atLeast"/>
              <w:jc w:val="center"/>
              <w:rPr>
                <w:rFonts w:ascii="Times New Roman" w:hAnsi="Times New Roman" w:cs="Times New Roman"/>
                <w:sz w:val="20"/>
                <w:szCs w:val="20"/>
              </w:rPr>
            </w:pPr>
          </w:p>
          <w:p w14:paraId="4DAEA1FE" w14:textId="4C525675" w:rsidR="003C045B" w:rsidRPr="00AC21F0" w:rsidRDefault="00201DBB" w:rsidP="006A0740">
            <w:pPr>
              <w:spacing w:line="240" w:lineRule="atLeast"/>
              <w:jc w:val="both"/>
              <w:rPr>
                <w:rFonts w:ascii="Times New Roman" w:eastAsia="Calibri" w:hAnsi="Times New Roman" w:cs="Times New Roman"/>
                <w:sz w:val="20"/>
                <w:szCs w:val="20"/>
              </w:rPr>
            </w:pPr>
            <w:r w:rsidRPr="00AC21F0">
              <w:rPr>
                <w:rFonts w:ascii="Times New Roman" w:hAnsi="Times New Roman" w:cs="Times New Roman"/>
                <w:sz w:val="20"/>
                <w:szCs w:val="20"/>
              </w:rPr>
              <w:t xml:space="preserve">The exchange of information on cross-border payments shall be carried out in compliance with the principle of confidentiality, security and the protection of personal data, in accordance with national legislation and Regulation (EU) </w:t>
            </w:r>
            <w:r w:rsidR="00BF1CFB" w:rsidRPr="00AC21F0">
              <w:rPr>
                <w:rFonts w:ascii="Times New Roman" w:hAnsi="Times New Roman" w:cs="Times New Roman"/>
                <w:sz w:val="20"/>
                <w:szCs w:val="20"/>
              </w:rPr>
              <w:t xml:space="preserve">no. </w:t>
            </w:r>
            <w:r w:rsidRPr="00AC21F0">
              <w:rPr>
                <w:rFonts w:ascii="Times New Roman" w:hAnsi="Times New Roman" w:cs="Times New Roman"/>
                <w:sz w:val="20"/>
                <w:szCs w:val="20"/>
              </w:rPr>
              <w:t>2016/679 (GDPR), as well as other EU acts on the protection of personal data.</w:t>
            </w:r>
          </w:p>
        </w:tc>
        <w:tc>
          <w:tcPr>
            <w:tcW w:w="720" w:type="dxa"/>
            <w:tcBorders>
              <w:bottom w:val="dashed" w:sz="4" w:space="0" w:color="auto"/>
            </w:tcBorders>
          </w:tcPr>
          <w:p w14:paraId="3F896C22" w14:textId="5CF9E139" w:rsidR="003C045B" w:rsidRPr="00AC21F0" w:rsidRDefault="003C045B" w:rsidP="006A0740">
            <w:pPr>
              <w:spacing w:line="240" w:lineRule="atLeast"/>
              <w:jc w:val="center"/>
              <w:rPr>
                <w:rFonts w:ascii="Times New Roman" w:eastAsia="Calibri" w:hAnsi="Times New Roman" w:cs="Times New Roman"/>
                <w:sz w:val="20"/>
                <w:szCs w:val="20"/>
              </w:rPr>
            </w:pPr>
          </w:p>
        </w:tc>
        <w:tc>
          <w:tcPr>
            <w:tcW w:w="3510" w:type="dxa"/>
            <w:tcBorders>
              <w:bottom w:val="dashed" w:sz="4" w:space="0" w:color="auto"/>
            </w:tcBorders>
          </w:tcPr>
          <w:p w14:paraId="66DFB167" w14:textId="77777777" w:rsidR="00CB119E" w:rsidRPr="00AC21F0" w:rsidRDefault="00CB119E" w:rsidP="006A0740">
            <w:pPr>
              <w:spacing w:line="240" w:lineRule="atLeast"/>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National provision.</w:t>
            </w:r>
          </w:p>
          <w:p w14:paraId="4DEB08E8" w14:textId="77777777" w:rsidR="00CB119E" w:rsidRPr="00AC21F0" w:rsidRDefault="00CB119E" w:rsidP="006A0740">
            <w:pPr>
              <w:spacing w:line="240" w:lineRule="atLeast"/>
              <w:rPr>
                <w:rFonts w:ascii="Times New Roman" w:eastAsia="Times New Roman" w:hAnsi="Times New Roman" w:cs="Times New Roman"/>
                <w:i/>
                <w:sz w:val="20"/>
                <w:szCs w:val="20"/>
              </w:rPr>
            </w:pPr>
          </w:p>
          <w:p w14:paraId="76BFEABA" w14:textId="589B03BB" w:rsidR="003C045B" w:rsidRPr="00AC21F0" w:rsidRDefault="003C045B" w:rsidP="006A0740">
            <w:pPr>
              <w:spacing w:line="240" w:lineRule="atLeast"/>
              <w:rPr>
                <w:rFonts w:ascii="Times New Roman" w:eastAsia="Times New Roman" w:hAnsi="Times New Roman" w:cs="Times New Roman"/>
                <w:i/>
                <w:sz w:val="20"/>
                <w:szCs w:val="20"/>
              </w:rPr>
            </w:pPr>
            <w:r w:rsidRPr="00AC21F0">
              <w:rPr>
                <w:rFonts w:ascii="Times New Roman" w:eastAsia="Times New Roman" w:hAnsi="Times New Roman" w:cs="Times New Roman"/>
                <w:i/>
                <w:sz w:val="20"/>
                <w:szCs w:val="20"/>
              </w:rPr>
              <w:t>There is no specific article covering this topic; the principles of confidentiality and data protection are included as general principles.</w:t>
            </w:r>
          </w:p>
          <w:p w14:paraId="16062C8C" w14:textId="4A886068" w:rsidR="003C045B" w:rsidRPr="00AC21F0" w:rsidRDefault="003C045B" w:rsidP="006A0740">
            <w:pPr>
              <w:spacing w:line="240" w:lineRule="atLeast"/>
              <w:rPr>
                <w:rFonts w:ascii="Times New Roman" w:eastAsia="Calibri" w:hAnsi="Times New Roman" w:cs="Times New Roman"/>
                <w:sz w:val="20"/>
                <w:szCs w:val="20"/>
                <w:lang w:val="en-US"/>
              </w:rPr>
            </w:pPr>
            <w:r w:rsidRPr="00AC21F0">
              <w:rPr>
                <w:rFonts w:ascii="Times New Roman" w:eastAsia="Times New Roman" w:hAnsi="Times New Roman" w:cs="Times New Roman"/>
                <w:sz w:val="20"/>
                <w:szCs w:val="20"/>
              </w:rPr>
              <w:t xml:space="preserve">Fully compliant – Article 5 sets out the principles for the exchange of information on cross-border payments, respecting confidentiality, security, and the protection of personal data in accordance with the </w:t>
            </w:r>
            <w:r w:rsidR="007A1544" w:rsidRPr="00AC21F0">
              <w:rPr>
                <w:rFonts w:ascii="Times New Roman" w:hAnsi="Times New Roman" w:cs="Times New Roman"/>
                <w:sz w:val="20"/>
                <w:szCs w:val="20"/>
              </w:rPr>
              <w:t>General Data Protection Regulation</w:t>
            </w:r>
            <w:r w:rsidR="007A1544" w:rsidRPr="00AC21F0">
              <w:rPr>
                <w:rFonts w:ascii="Times New Roman" w:eastAsia="Times New Roman" w:hAnsi="Times New Roman" w:cs="Times New Roman"/>
                <w:sz w:val="20"/>
                <w:szCs w:val="20"/>
              </w:rPr>
              <w:t xml:space="preserve"> </w:t>
            </w:r>
            <w:r w:rsidRPr="00AC21F0">
              <w:rPr>
                <w:rFonts w:ascii="Times New Roman" w:eastAsia="Times New Roman" w:hAnsi="Times New Roman" w:cs="Times New Roman"/>
                <w:sz w:val="20"/>
                <w:szCs w:val="20"/>
              </w:rPr>
              <w:t>GDPR and EU legislation.</w:t>
            </w:r>
          </w:p>
        </w:tc>
      </w:tr>
      <w:tr w:rsidR="003C045B" w:rsidRPr="00AC21F0" w14:paraId="58B319CC" w14:textId="77777777" w:rsidTr="00990A3C">
        <w:trPr>
          <w:trHeight w:val="584"/>
        </w:trPr>
        <w:tc>
          <w:tcPr>
            <w:tcW w:w="540" w:type="dxa"/>
            <w:shd w:val="clear" w:color="auto" w:fill="D0CECE" w:themeFill="background2" w:themeFillShade="E6"/>
          </w:tcPr>
          <w:p w14:paraId="224AE4C1" w14:textId="0D30AC43"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shd w:val="clear" w:color="auto" w:fill="D0CECE" w:themeFill="background2" w:themeFillShade="E6"/>
          </w:tcPr>
          <w:p w14:paraId="7CC33995" w14:textId="77777777" w:rsidR="003C045B" w:rsidRPr="00AC21F0" w:rsidRDefault="003C045B" w:rsidP="006A0740">
            <w:pPr>
              <w:spacing w:line="240" w:lineRule="atLeast"/>
              <w:jc w:val="both"/>
              <w:rPr>
                <w:rFonts w:ascii="Times New Roman" w:eastAsia="Calibri" w:hAnsi="Times New Roman" w:cs="Times New Roman"/>
                <w:i/>
                <w:iCs/>
                <w:sz w:val="20"/>
                <w:szCs w:val="20"/>
                <w:lang w:val="en-US"/>
              </w:rPr>
            </w:pPr>
          </w:p>
        </w:tc>
        <w:tc>
          <w:tcPr>
            <w:tcW w:w="450" w:type="dxa"/>
            <w:shd w:val="clear" w:color="auto" w:fill="D0CECE" w:themeFill="background2" w:themeFillShade="E6"/>
          </w:tcPr>
          <w:p w14:paraId="00B408AA" w14:textId="4F7D18E3" w:rsidR="003C045B" w:rsidRPr="00AC21F0" w:rsidRDefault="003C045B" w:rsidP="006A0740">
            <w:pPr>
              <w:spacing w:line="240" w:lineRule="atLeast"/>
              <w:jc w:val="center"/>
              <w:rPr>
                <w:rFonts w:ascii="Times New Roman" w:eastAsia="Calibri" w:hAnsi="Times New Roman" w:cs="Times New Roman"/>
                <w:i/>
                <w:iCs/>
                <w:sz w:val="20"/>
                <w:szCs w:val="20"/>
              </w:rPr>
            </w:pPr>
          </w:p>
        </w:tc>
        <w:tc>
          <w:tcPr>
            <w:tcW w:w="644" w:type="dxa"/>
            <w:shd w:val="clear" w:color="auto" w:fill="D0CECE" w:themeFill="background2" w:themeFillShade="E6"/>
          </w:tcPr>
          <w:p w14:paraId="4FA1D7A2" w14:textId="1B4209C2" w:rsidR="003C045B" w:rsidRPr="00AC21F0" w:rsidRDefault="003C045B" w:rsidP="006A0740">
            <w:pPr>
              <w:spacing w:line="240" w:lineRule="atLeast"/>
              <w:jc w:val="center"/>
              <w:rPr>
                <w:rFonts w:ascii="Times New Roman" w:eastAsia="Calibri" w:hAnsi="Times New Roman" w:cs="Times New Roman"/>
                <w:i/>
                <w:iCs/>
                <w:sz w:val="20"/>
                <w:szCs w:val="20"/>
                <w:lang w:val="en-US"/>
              </w:rPr>
            </w:pPr>
          </w:p>
        </w:tc>
        <w:tc>
          <w:tcPr>
            <w:tcW w:w="5040" w:type="dxa"/>
            <w:tcBorders>
              <w:bottom w:val="dashed" w:sz="4" w:space="0" w:color="auto"/>
            </w:tcBorders>
            <w:shd w:val="clear" w:color="auto" w:fill="D0CECE" w:themeFill="background2" w:themeFillShade="E6"/>
          </w:tcPr>
          <w:p w14:paraId="5AA452BE" w14:textId="77777777" w:rsidR="00201DBB" w:rsidRPr="00AC21F0" w:rsidRDefault="00201DBB" w:rsidP="006A0740">
            <w:pPr>
              <w:spacing w:line="240" w:lineRule="atLeast"/>
              <w:jc w:val="center"/>
              <w:rPr>
                <w:rFonts w:ascii="Times New Roman" w:hAnsi="Times New Roman" w:cs="Times New Roman"/>
                <w:iCs/>
                <w:sz w:val="20"/>
                <w:szCs w:val="20"/>
              </w:rPr>
            </w:pPr>
            <w:r w:rsidRPr="00AC21F0">
              <w:rPr>
                <w:rFonts w:ascii="Times New Roman" w:hAnsi="Times New Roman" w:cs="Times New Roman"/>
                <w:iCs/>
                <w:sz w:val="20"/>
                <w:szCs w:val="20"/>
              </w:rPr>
              <w:t>Article 6</w:t>
            </w:r>
          </w:p>
          <w:p w14:paraId="0EDA3A1F" w14:textId="53FB8E61" w:rsidR="003C045B" w:rsidRPr="00AC21F0" w:rsidRDefault="00614830" w:rsidP="006A0740">
            <w:pPr>
              <w:spacing w:line="240" w:lineRule="atLeast"/>
              <w:jc w:val="center"/>
              <w:rPr>
                <w:rFonts w:ascii="Times New Roman" w:eastAsia="Calibri" w:hAnsi="Times New Roman" w:cs="Times New Roman"/>
                <w:i/>
                <w:iCs/>
                <w:sz w:val="20"/>
                <w:szCs w:val="20"/>
              </w:rPr>
            </w:pPr>
            <w:r w:rsidRPr="00AC21F0">
              <w:rPr>
                <w:rFonts w:ascii="Times New Roman" w:hAnsi="Times New Roman" w:cs="Times New Roman"/>
                <w:sz w:val="20"/>
                <w:szCs w:val="20"/>
              </w:rPr>
              <w:t>The responsible institution for the transmission and exchange of data with CESOP</w:t>
            </w:r>
          </w:p>
        </w:tc>
        <w:tc>
          <w:tcPr>
            <w:tcW w:w="720" w:type="dxa"/>
            <w:tcBorders>
              <w:bottom w:val="dashed" w:sz="4" w:space="0" w:color="auto"/>
            </w:tcBorders>
            <w:shd w:val="clear" w:color="auto" w:fill="D0CECE" w:themeFill="background2" w:themeFillShade="E6"/>
          </w:tcPr>
          <w:p w14:paraId="64F469B0" w14:textId="5254E0D7"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3510" w:type="dxa"/>
            <w:tcBorders>
              <w:bottom w:val="dashed" w:sz="4" w:space="0" w:color="auto"/>
            </w:tcBorders>
            <w:shd w:val="clear" w:color="auto" w:fill="D0CECE" w:themeFill="background2" w:themeFillShade="E6"/>
          </w:tcPr>
          <w:p w14:paraId="0F876825" w14:textId="35858A2B" w:rsidR="003C045B" w:rsidRPr="00AC21F0" w:rsidRDefault="003C045B" w:rsidP="006A0740">
            <w:pPr>
              <w:spacing w:line="240" w:lineRule="atLeast"/>
              <w:rPr>
                <w:rFonts w:ascii="Times New Roman" w:eastAsia="Calibri" w:hAnsi="Times New Roman" w:cs="Times New Roman"/>
                <w:sz w:val="20"/>
                <w:szCs w:val="20"/>
                <w:lang w:val="en-US"/>
              </w:rPr>
            </w:pPr>
          </w:p>
        </w:tc>
      </w:tr>
      <w:tr w:rsidR="003C045B" w:rsidRPr="00AC21F0" w14:paraId="69F77E82" w14:textId="77777777" w:rsidTr="004738EE">
        <w:tc>
          <w:tcPr>
            <w:tcW w:w="540" w:type="dxa"/>
          </w:tcPr>
          <w:p w14:paraId="69F19673" w14:textId="7B3D6D02"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tcPr>
          <w:p w14:paraId="4D1B5F6A" w14:textId="77777777" w:rsidR="00A70E48" w:rsidRPr="00AC21F0" w:rsidRDefault="00A70E48" w:rsidP="006A0740">
            <w:pPr>
              <w:spacing w:line="240" w:lineRule="atLeast"/>
              <w:jc w:val="both"/>
              <w:rPr>
                <w:rFonts w:ascii="Times New Roman" w:eastAsia="Calibri" w:hAnsi="Times New Roman" w:cs="Times New Roman"/>
                <w:iCs/>
                <w:sz w:val="20"/>
                <w:szCs w:val="20"/>
                <w:lang w:val="en-US"/>
              </w:rPr>
            </w:pPr>
            <w:r w:rsidRPr="00AC21F0">
              <w:rPr>
                <w:rFonts w:ascii="Times New Roman" w:eastAsia="Calibri" w:hAnsi="Times New Roman" w:cs="Times New Roman"/>
                <w:iCs/>
                <w:sz w:val="20"/>
                <w:szCs w:val="20"/>
                <w:lang w:val="en-US"/>
              </w:rPr>
              <w:t>Article 24b</w:t>
            </w:r>
          </w:p>
          <w:p w14:paraId="2E284FE8" w14:textId="77777777" w:rsidR="00A70E48" w:rsidRPr="00AC21F0" w:rsidRDefault="00A70E48" w:rsidP="006A0740">
            <w:pPr>
              <w:spacing w:line="240" w:lineRule="atLeast"/>
              <w:jc w:val="both"/>
              <w:rPr>
                <w:rFonts w:ascii="Times New Roman" w:eastAsia="Calibri" w:hAnsi="Times New Roman" w:cs="Times New Roman"/>
                <w:iCs/>
                <w:sz w:val="20"/>
                <w:szCs w:val="20"/>
                <w:lang w:val="en-US"/>
              </w:rPr>
            </w:pPr>
          </w:p>
          <w:p w14:paraId="1C422642" w14:textId="12A09B7F" w:rsidR="00A70E48" w:rsidRPr="00AC21F0" w:rsidRDefault="00A70E48" w:rsidP="006A0740">
            <w:pPr>
              <w:spacing w:line="240" w:lineRule="atLeast"/>
              <w:jc w:val="both"/>
              <w:rPr>
                <w:rFonts w:ascii="Times New Roman" w:eastAsia="Calibri" w:hAnsi="Times New Roman" w:cs="Times New Roman"/>
                <w:iCs/>
                <w:sz w:val="20"/>
                <w:szCs w:val="20"/>
                <w:lang w:val="en-US"/>
              </w:rPr>
            </w:pPr>
          </w:p>
          <w:p w14:paraId="30C26035" w14:textId="77777777" w:rsidR="00A70E48" w:rsidRPr="00AC21F0" w:rsidRDefault="00A70E48" w:rsidP="006A0740">
            <w:pPr>
              <w:spacing w:line="240" w:lineRule="atLeast"/>
              <w:jc w:val="both"/>
              <w:rPr>
                <w:rFonts w:ascii="Times New Roman" w:eastAsia="Calibri" w:hAnsi="Times New Roman" w:cs="Times New Roman"/>
                <w:iCs/>
                <w:sz w:val="20"/>
                <w:szCs w:val="20"/>
                <w:lang w:val="en-US"/>
              </w:rPr>
            </w:pPr>
          </w:p>
          <w:p w14:paraId="2BF1ADDE" w14:textId="77777777" w:rsidR="00A70E48" w:rsidRPr="00AC21F0" w:rsidRDefault="00A70E48" w:rsidP="006A0740">
            <w:pPr>
              <w:spacing w:line="240" w:lineRule="atLeast"/>
              <w:jc w:val="both"/>
              <w:rPr>
                <w:rFonts w:ascii="Times New Roman" w:eastAsia="Calibri" w:hAnsi="Times New Roman" w:cs="Times New Roman"/>
                <w:iCs/>
                <w:sz w:val="20"/>
                <w:szCs w:val="20"/>
                <w:lang w:val="en-US"/>
              </w:rPr>
            </w:pPr>
            <w:r w:rsidRPr="00AC21F0">
              <w:rPr>
                <w:rFonts w:ascii="Times New Roman" w:eastAsia="Calibri" w:hAnsi="Times New Roman" w:cs="Times New Roman"/>
                <w:iCs/>
                <w:sz w:val="20"/>
                <w:szCs w:val="20"/>
                <w:lang w:val="en-US"/>
              </w:rPr>
              <w:t>2.   Each Member State may store the information collected in accordance with paragraph 1 in a national electronic system.</w:t>
            </w:r>
          </w:p>
          <w:p w14:paraId="71A7E49A" w14:textId="77777777" w:rsidR="00A70E48" w:rsidRPr="00AC21F0" w:rsidRDefault="00A70E48" w:rsidP="006A0740">
            <w:pPr>
              <w:spacing w:line="240" w:lineRule="atLeast"/>
              <w:jc w:val="both"/>
              <w:rPr>
                <w:rFonts w:ascii="Times New Roman" w:eastAsia="Calibri" w:hAnsi="Times New Roman" w:cs="Times New Roman"/>
                <w:iCs/>
                <w:sz w:val="20"/>
                <w:szCs w:val="20"/>
                <w:lang w:val="en-US"/>
              </w:rPr>
            </w:pPr>
          </w:p>
          <w:p w14:paraId="50F9E8AC" w14:textId="77777777" w:rsidR="00A70E48" w:rsidRPr="00AC21F0" w:rsidRDefault="00A70E48" w:rsidP="006A0740">
            <w:pPr>
              <w:spacing w:line="240" w:lineRule="atLeast"/>
              <w:jc w:val="both"/>
              <w:rPr>
                <w:rFonts w:ascii="Times New Roman" w:eastAsia="Calibri" w:hAnsi="Times New Roman" w:cs="Times New Roman"/>
                <w:iCs/>
                <w:sz w:val="20"/>
                <w:szCs w:val="20"/>
                <w:lang w:val="en-US"/>
              </w:rPr>
            </w:pPr>
            <w:r w:rsidRPr="00AC21F0">
              <w:rPr>
                <w:rFonts w:ascii="Times New Roman" w:eastAsia="Calibri" w:hAnsi="Times New Roman" w:cs="Times New Roman"/>
                <w:iCs/>
                <w:sz w:val="20"/>
                <w:szCs w:val="20"/>
                <w:lang w:val="en-US"/>
              </w:rPr>
              <w:t>3.   The central liaison office, or the liaison departments or competent officials designated by the competent authority of each Member State, shall transmit to CESOP the information collected in accordance with paragraph 1 no later than the tenth day of the second month following the calendar quarter to which the information relates.</w:t>
            </w:r>
          </w:p>
          <w:p w14:paraId="7379828A" w14:textId="6984C87B" w:rsidR="003C045B" w:rsidRPr="00AC21F0" w:rsidRDefault="003C045B" w:rsidP="006A0740">
            <w:pPr>
              <w:spacing w:line="240" w:lineRule="atLeast"/>
              <w:jc w:val="both"/>
              <w:rPr>
                <w:rFonts w:ascii="Times New Roman" w:eastAsia="Calibri" w:hAnsi="Times New Roman" w:cs="Times New Roman"/>
                <w:iCs/>
                <w:sz w:val="20"/>
                <w:szCs w:val="20"/>
                <w:lang w:val="en-US"/>
              </w:rPr>
            </w:pPr>
          </w:p>
        </w:tc>
        <w:tc>
          <w:tcPr>
            <w:tcW w:w="450" w:type="dxa"/>
          </w:tcPr>
          <w:p w14:paraId="126B8A65" w14:textId="484EE591" w:rsidR="003C045B" w:rsidRPr="00AC21F0" w:rsidRDefault="003C045B" w:rsidP="006A0740">
            <w:pPr>
              <w:spacing w:line="240" w:lineRule="atLeast"/>
              <w:jc w:val="center"/>
              <w:rPr>
                <w:rFonts w:ascii="Times New Roman" w:eastAsia="Calibri" w:hAnsi="Times New Roman" w:cs="Times New Roman"/>
                <w:sz w:val="20"/>
                <w:szCs w:val="20"/>
              </w:rPr>
            </w:pPr>
          </w:p>
        </w:tc>
        <w:tc>
          <w:tcPr>
            <w:tcW w:w="644" w:type="dxa"/>
          </w:tcPr>
          <w:p w14:paraId="4F71CC44" w14:textId="5E2EE688"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5040" w:type="dxa"/>
          </w:tcPr>
          <w:p w14:paraId="0AF23409" w14:textId="1DDC93A6" w:rsidR="00201DBB" w:rsidRPr="00AC21F0" w:rsidRDefault="00201DBB" w:rsidP="006A0740">
            <w:pPr>
              <w:spacing w:line="240" w:lineRule="atLeast"/>
              <w:jc w:val="both"/>
              <w:rPr>
                <w:rFonts w:ascii="Times New Roman" w:hAnsi="Times New Roman" w:cs="Times New Roman"/>
                <w:color w:val="000000" w:themeColor="text1"/>
                <w:sz w:val="20"/>
                <w:szCs w:val="20"/>
              </w:rPr>
            </w:pPr>
            <w:r w:rsidRPr="00AC21F0">
              <w:rPr>
                <w:rFonts w:ascii="Times New Roman" w:hAnsi="Times New Roman" w:cs="Times New Roman"/>
                <w:color w:val="000000" w:themeColor="text1"/>
                <w:sz w:val="20"/>
                <w:szCs w:val="20"/>
              </w:rPr>
              <w:t>The General Directorate of Taxation shall be the administering institution responsible for the processing, verification and exchange of  the data reported by payment service providers, in compliance with the deadlines and technical procedures laid down in Council Regulation (EU) No. 904/2010, as amended and in this Law.</w:t>
            </w:r>
          </w:p>
          <w:p w14:paraId="6E27950F" w14:textId="549E86E9" w:rsidR="00332AE4" w:rsidRPr="00AC21F0" w:rsidRDefault="00332AE4" w:rsidP="006A0740">
            <w:pPr>
              <w:pStyle w:val="NormalWeb"/>
              <w:spacing w:line="240" w:lineRule="atLeast"/>
              <w:jc w:val="both"/>
              <w:rPr>
                <w:rFonts w:eastAsia="Times New Roman"/>
                <w:sz w:val="20"/>
                <w:szCs w:val="20"/>
              </w:rPr>
            </w:pPr>
          </w:p>
          <w:p w14:paraId="63C7FD2A" w14:textId="318D64D0" w:rsidR="00332AE4" w:rsidRPr="00AC21F0" w:rsidRDefault="00332AE4" w:rsidP="006A0740">
            <w:pPr>
              <w:spacing w:before="100" w:beforeAutospacing="1" w:after="100" w:afterAutospacing="1" w:line="240" w:lineRule="atLeast"/>
              <w:rPr>
                <w:rFonts w:ascii="Times New Roman" w:eastAsia="Times New Roman" w:hAnsi="Times New Roman" w:cs="Times New Roman"/>
                <w:sz w:val="20"/>
                <w:szCs w:val="20"/>
              </w:rPr>
            </w:pPr>
          </w:p>
          <w:p w14:paraId="38D091EF" w14:textId="77777777" w:rsidR="003C045B" w:rsidRPr="00AC21F0" w:rsidRDefault="00952ABD" w:rsidP="006A0740">
            <w:pPr>
              <w:spacing w:line="240" w:lineRule="atLeast"/>
              <w:jc w:val="both"/>
              <w:rPr>
                <w:rFonts w:ascii="Times New Roman" w:eastAsia="Calibri" w:hAnsi="Times New Roman" w:cs="Times New Roman"/>
                <w:sz w:val="20"/>
                <w:szCs w:val="20"/>
              </w:rPr>
            </w:pPr>
            <w:r w:rsidRPr="00AC21F0">
              <w:rPr>
                <w:rFonts w:ascii="Times New Roman" w:eastAsia="Calibri" w:hAnsi="Times New Roman" w:cs="Times New Roman"/>
                <w:sz w:val="20"/>
                <w:szCs w:val="20"/>
              </w:rPr>
              <w:t xml:space="preserve"> </w:t>
            </w:r>
          </w:p>
          <w:p w14:paraId="5BB63C0C" w14:textId="21626644" w:rsidR="00A832A6" w:rsidRPr="00AC21F0" w:rsidRDefault="00A832A6" w:rsidP="006A0740">
            <w:pPr>
              <w:spacing w:line="240" w:lineRule="atLeast"/>
              <w:jc w:val="both"/>
              <w:rPr>
                <w:rFonts w:ascii="Times New Roman" w:eastAsia="Calibri" w:hAnsi="Times New Roman" w:cs="Times New Roman"/>
                <w:sz w:val="20"/>
                <w:szCs w:val="20"/>
              </w:rPr>
            </w:pPr>
          </w:p>
        </w:tc>
        <w:tc>
          <w:tcPr>
            <w:tcW w:w="720" w:type="dxa"/>
          </w:tcPr>
          <w:p w14:paraId="792A6F0C" w14:textId="1F6AA930" w:rsidR="003C045B" w:rsidRPr="00AC21F0" w:rsidRDefault="003C045B" w:rsidP="006A0740">
            <w:pPr>
              <w:spacing w:line="240" w:lineRule="atLeast"/>
              <w:jc w:val="center"/>
              <w:rPr>
                <w:rFonts w:ascii="Times New Roman" w:eastAsia="Calibri" w:hAnsi="Times New Roman" w:cs="Times New Roman"/>
                <w:sz w:val="20"/>
                <w:szCs w:val="20"/>
                <w:lang w:val="en-US"/>
              </w:rPr>
            </w:pPr>
            <w:r w:rsidRPr="00AC21F0">
              <w:rPr>
                <w:rFonts w:ascii="Times New Roman" w:eastAsia="Calibri" w:hAnsi="Times New Roman" w:cs="Times New Roman"/>
                <w:sz w:val="20"/>
                <w:szCs w:val="20"/>
                <w:lang w:val="en-US"/>
              </w:rPr>
              <w:t>F</w:t>
            </w:r>
          </w:p>
        </w:tc>
        <w:tc>
          <w:tcPr>
            <w:tcW w:w="3510" w:type="dxa"/>
          </w:tcPr>
          <w:p w14:paraId="6BF325A1" w14:textId="50F66CE3" w:rsidR="003C045B" w:rsidRPr="00AC21F0" w:rsidRDefault="00652429" w:rsidP="006A0740">
            <w:pPr>
              <w:widowControl w:val="0"/>
              <w:pBdr>
                <w:top w:val="nil"/>
                <w:left w:val="nil"/>
                <w:bottom w:val="nil"/>
                <w:right w:val="nil"/>
                <w:between w:val="nil"/>
              </w:pBdr>
              <w:spacing w:before="120" w:line="240" w:lineRule="atLeast"/>
              <w:jc w:val="both"/>
              <w:rPr>
                <w:rFonts w:ascii="Times New Roman" w:eastAsia="Calibri" w:hAnsi="Times New Roman" w:cs="Times New Roman"/>
                <w:sz w:val="20"/>
                <w:szCs w:val="20"/>
              </w:rPr>
            </w:pPr>
            <w:r w:rsidRPr="00AC21F0">
              <w:rPr>
                <w:rFonts w:ascii="Times New Roman" w:eastAsia="Times New Roman" w:hAnsi="Times New Roman" w:cs="Times New Roman"/>
                <w:iCs/>
                <w:sz w:val="20"/>
                <w:szCs w:val="20"/>
              </w:rPr>
              <w:t>Article 6 of Albanian law defines the competenet auth</w:t>
            </w:r>
            <w:r w:rsidRPr="00AC21F0">
              <w:rPr>
                <w:rFonts w:ascii="Times New Roman" w:eastAsia="Times New Roman" w:hAnsi="Times New Roman" w:cs="Times New Roman"/>
                <w:iCs/>
                <w:sz w:val="20"/>
                <w:szCs w:val="20"/>
                <w:lang w:val="en-US"/>
              </w:rPr>
              <w:t>o</w:t>
            </w:r>
            <w:r w:rsidRPr="00AC21F0">
              <w:rPr>
                <w:rFonts w:ascii="Times New Roman" w:eastAsia="Times New Roman" w:hAnsi="Times New Roman" w:cs="Times New Roman"/>
                <w:iCs/>
                <w:sz w:val="20"/>
                <w:szCs w:val="20"/>
              </w:rPr>
              <w:t>r</w:t>
            </w:r>
            <w:proofErr w:type="spellStart"/>
            <w:r w:rsidRPr="00AC21F0">
              <w:rPr>
                <w:rFonts w:ascii="Times New Roman" w:eastAsia="Times New Roman" w:hAnsi="Times New Roman" w:cs="Times New Roman"/>
                <w:iCs/>
                <w:sz w:val="20"/>
                <w:szCs w:val="20"/>
                <w:lang w:val="en-US"/>
              </w:rPr>
              <w:t>i</w:t>
            </w:r>
            <w:proofErr w:type="spellEnd"/>
            <w:r w:rsidRPr="00AC21F0">
              <w:rPr>
                <w:rFonts w:ascii="Times New Roman" w:eastAsia="Times New Roman" w:hAnsi="Times New Roman" w:cs="Times New Roman"/>
                <w:iCs/>
                <w:sz w:val="20"/>
                <w:szCs w:val="20"/>
              </w:rPr>
              <w:t>ty is Gen</w:t>
            </w:r>
            <w:proofErr w:type="spellStart"/>
            <w:r w:rsidRPr="00AC21F0">
              <w:rPr>
                <w:rFonts w:ascii="Times New Roman" w:eastAsia="Times New Roman" w:hAnsi="Times New Roman" w:cs="Times New Roman"/>
                <w:iCs/>
                <w:sz w:val="20"/>
                <w:szCs w:val="20"/>
                <w:lang w:val="en-US"/>
              </w:rPr>
              <w:t>eral</w:t>
            </w:r>
            <w:proofErr w:type="spellEnd"/>
            <w:r w:rsidRPr="00AC21F0">
              <w:rPr>
                <w:rFonts w:ascii="Times New Roman" w:eastAsia="Times New Roman" w:hAnsi="Times New Roman" w:cs="Times New Roman"/>
                <w:iCs/>
                <w:sz w:val="20"/>
                <w:szCs w:val="20"/>
              </w:rPr>
              <w:t xml:space="preserve"> Director</w:t>
            </w:r>
            <w:r w:rsidRPr="00AC21F0">
              <w:rPr>
                <w:rFonts w:ascii="Times New Roman" w:eastAsia="Times New Roman" w:hAnsi="Times New Roman" w:cs="Times New Roman"/>
                <w:iCs/>
                <w:sz w:val="20"/>
                <w:szCs w:val="20"/>
                <w:lang w:val="en-US"/>
              </w:rPr>
              <w:t>a</w:t>
            </w:r>
            <w:r w:rsidRPr="00AC21F0">
              <w:rPr>
                <w:rFonts w:ascii="Times New Roman" w:eastAsia="Times New Roman" w:hAnsi="Times New Roman" w:cs="Times New Roman"/>
                <w:iCs/>
                <w:sz w:val="20"/>
                <w:szCs w:val="20"/>
              </w:rPr>
              <w:t>te of Taxa</w:t>
            </w:r>
            <w:proofErr w:type="spellStart"/>
            <w:r w:rsidR="003927C4" w:rsidRPr="00AC21F0">
              <w:rPr>
                <w:rFonts w:ascii="Times New Roman" w:eastAsia="Times New Roman" w:hAnsi="Times New Roman" w:cs="Times New Roman"/>
                <w:iCs/>
                <w:sz w:val="20"/>
                <w:szCs w:val="20"/>
                <w:lang w:val="en-US"/>
              </w:rPr>
              <w:t>tion</w:t>
            </w:r>
            <w:proofErr w:type="spellEnd"/>
            <w:r w:rsidRPr="00AC21F0">
              <w:rPr>
                <w:rFonts w:ascii="Times New Roman" w:eastAsia="Times New Roman" w:hAnsi="Times New Roman" w:cs="Times New Roman"/>
                <w:iCs/>
                <w:sz w:val="20"/>
                <w:szCs w:val="20"/>
              </w:rPr>
              <w:t xml:space="preserve"> </w:t>
            </w:r>
            <w:r w:rsidR="003927C4" w:rsidRPr="00AC21F0">
              <w:rPr>
                <w:rFonts w:ascii="Times New Roman" w:eastAsia="Times New Roman" w:hAnsi="Times New Roman" w:cs="Times New Roman"/>
                <w:iCs/>
                <w:sz w:val="20"/>
                <w:szCs w:val="20"/>
                <w:lang w:val="en-US"/>
              </w:rPr>
              <w:t xml:space="preserve">for </w:t>
            </w:r>
            <w:r w:rsidRPr="00AC21F0">
              <w:rPr>
                <w:rFonts w:ascii="Times New Roman" w:eastAsia="Times New Roman" w:hAnsi="Times New Roman" w:cs="Times New Roman"/>
                <w:iCs/>
                <w:sz w:val="20"/>
                <w:szCs w:val="20"/>
              </w:rPr>
              <w:t>the processing, verification, and exchange of data reported by payment service providers</w:t>
            </w:r>
            <w:r w:rsidRPr="00AC21F0" w:rsidDel="00652429">
              <w:rPr>
                <w:rFonts w:ascii="Times New Roman" w:eastAsia="Times New Roman" w:hAnsi="Times New Roman" w:cs="Times New Roman"/>
                <w:iCs/>
                <w:sz w:val="20"/>
                <w:szCs w:val="20"/>
              </w:rPr>
              <w:t xml:space="preserve"> </w:t>
            </w:r>
            <w:r w:rsidRPr="00AC21F0">
              <w:rPr>
                <w:rFonts w:ascii="Times New Roman" w:eastAsia="Times New Roman" w:hAnsi="Times New Roman" w:cs="Times New Roman"/>
                <w:iCs/>
                <w:sz w:val="20"/>
                <w:szCs w:val="20"/>
              </w:rPr>
              <w:t xml:space="preserve">and the processing, verification, and exchange of data reported by payment service providers. Meanwhile, </w:t>
            </w:r>
            <w:r w:rsidRPr="00AC21F0">
              <w:rPr>
                <w:rFonts w:ascii="Times New Roman" w:eastAsia="Times New Roman" w:hAnsi="Times New Roman" w:cs="Times New Roman"/>
                <w:sz w:val="20"/>
                <w:szCs w:val="20"/>
              </w:rPr>
              <w:t>the National Agency for Information Society</w:t>
            </w:r>
            <w:r w:rsidRPr="00AC21F0" w:rsidDel="00652429">
              <w:rPr>
                <w:rFonts w:ascii="Times New Roman" w:eastAsia="Times New Roman" w:hAnsi="Times New Roman" w:cs="Times New Roman"/>
                <w:iCs/>
                <w:sz w:val="20"/>
                <w:szCs w:val="20"/>
              </w:rPr>
              <w:t xml:space="preserve"> </w:t>
            </w:r>
            <w:r w:rsidRPr="00AC21F0">
              <w:rPr>
                <w:rFonts w:ascii="Times New Roman" w:eastAsia="Times New Roman" w:hAnsi="Times New Roman" w:cs="Times New Roman"/>
                <w:iCs/>
                <w:sz w:val="20"/>
                <w:szCs w:val="20"/>
                <w:lang w:val="en-US"/>
              </w:rPr>
              <w:t xml:space="preserve">is responsible </w:t>
            </w:r>
            <w:r w:rsidRPr="00AC21F0">
              <w:rPr>
                <w:rFonts w:ascii="Times New Roman" w:eastAsia="Times New Roman" w:hAnsi="Times New Roman" w:cs="Times New Roman"/>
                <w:iCs/>
                <w:sz w:val="20"/>
                <w:szCs w:val="20"/>
              </w:rPr>
              <w:t>for doing the necessary IT developments</w:t>
            </w:r>
          </w:p>
        </w:tc>
      </w:tr>
      <w:tr w:rsidR="003C045B" w:rsidRPr="00AC21F0" w14:paraId="795D9D6B" w14:textId="77777777" w:rsidTr="00990A3C">
        <w:tc>
          <w:tcPr>
            <w:tcW w:w="540" w:type="dxa"/>
            <w:shd w:val="clear" w:color="auto" w:fill="D0CECE" w:themeFill="background2" w:themeFillShade="E6"/>
          </w:tcPr>
          <w:p w14:paraId="56BD2627" w14:textId="0304CB92" w:rsidR="003C045B" w:rsidRPr="00AC21F0" w:rsidRDefault="003C045B" w:rsidP="006A0740">
            <w:pPr>
              <w:spacing w:line="240" w:lineRule="atLeast"/>
              <w:jc w:val="both"/>
              <w:rPr>
                <w:rFonts w:ascii="Times New Roman" w:eastAsia="Calibri" w:hAnsi="Times New Roman" w:cs="Times New Roman"/>
                <w:sz w:val="20"/>
                <w:szCs w:val="20"/>
              </w:rPr>
            </w:pPr>
          </w:p>
        </w:tc>
        <w:tc>
          <w:tcPr>
            <w:tcW w:w="5400" w:type="dxa"/>
            <w:shd w:val="clear" w:color="auto" w:fill="D0CECE" w:themeFill="background2" w:themeFillShade="E6"/>
          </w:tcPr>
          <w:p w14:paraId="316D99B5" w14:textId="09760256" w:rsidR="003C045B" w:rsidRPr="00AC21F0" w:rsidRDefault="00147BF2" w:rsidP="006A0740">
            <w:pPr>
              <w:spacing w:line="240" w:lineRule="atLeast"/>
              <w:jc w:val="both"/>
              <w:rPr>
                <w:rFonts w:ascii="Times New Roman" w:eastAsia="Calibri" w:hAnsi="Times New Roman" w:cs="Times New Roman"/>
                <w:i/>
                <w:iCs/>
                <w:sz w:val="20"/>
                <w:szCs w:val="20"/>
              </w:rPr>
            </w:pPr>
            <w:r w:rsidRPr="00AC21F0">
              <w:rPr>
                <w:rFonts w:ascii="Times New Roman" w:eastAsia="Calibri" w:hAnsi="Times New Roman" w:cs="Times New Roman"/>
                <w:i/>
                <w:iCs/>
                <w:sz w:val="20"/>
                <w:szCs w:val="20"/>
              </w:rPr>
              <w:t>Preambule</w:t>
            </w:r>
          </w:p>
        </w:tc>
        <w:tc>
          <w:tcPr>
            <w:tcW w:w="450" w:type="dxa"/>
            <w:shd w:val="clear" w:color="auto" w:fill="D0CECE" w:themeFill="background2" w:themeFillShade="E6"/>
          </w:tcPr>
          <w:p w14:paraId="68A57B73" w14:textId="19F64D70" w:rsidR="003C045B" w:rsidRPr="00AC21F0" w:rsidRDefault="003C045B" w:rsidP="006A0740">
            <w:pPr>
              <w:spacing w:line="240" w:lineRule="atLeast"/>
              <w:jc w:val="center"/>
              <w:rPr>
                <w:rFonts w:ascii="Times New Roman" w:eastAsia="Calibri" w:hAnsi="Times New Roman" w:cs="Times New Roman"/>
                <w:i/>
                <w:iCs/>
                <w:sz w:val="20"/>
                <w:szCs w:val="20"/>
              </w:rPr>
            </w:pPr>
          </w:p>
        </w:tc>
        <w:tc>
          <w:tcPr>
            <w:tcW w:w="644" w:type="dxa"/>
            <w:shd w:val="clear" w:color="auto" w:fill="D0CECE" w:themeFill="background2" w:themeFillShade="E6"/>
          </w:tcPr>
          <w:p w14:paraId="482568F1" w14:textId="58ED12C7" w:rsidR="003C045B" w:rsidRPr="00AC21F0" w:rsidRDefault="003C045B" w:rsidP="006A0740">
            <w:pPr>
              <w:spacing w:line="240" w:lineRule="atLeast"/>
              <w:jc w:val="center"/>
              <w:rPr>
                <w:rFonts w:ascii="Times New Roman" w:eastAsia="Calibri" w:hAnsi="Times New Roman" w:cs="Times New Roman"/>
                <w:i/>
                <w:iCs/>
                <w:sz w:val="20"/>
                <w:szCs w:val="20"/>
              </w:rPr>
            </w:pPr>
          </w:p>
        </w:tc>
        <w:tc>
          <w:tcPr>
            <w:tcW w:w="5040" w:type="dxa"/>
            <w:shd w:val="clear" w:color="auto" w:fill="D0CECE" w:themeFill="background2" w:themeFillShade="E6"/>
          </w:tcPr>
          <w:p w14:paraId="2C137C50" w14:textId="77777777" w:rsidR="00201DBB" w:rsidRPr="00AC21F0" w:rsidRDefault="00201DBB" w:rsidP="006A0740">
            <w:pPr>
              <w:spacing w:line="240" w:lineRule="atLeast"/>
              <w:jc w:val="center"/>
              <w:rPr>
                <w:rFonts w:ascii="Times New Roman" w:hAnsi="Times New Roman" w:cs="Times New Roman"/>
                <w:iCs/>
                <w:color w:val="000000" w:themeColor="text1"/>
                <w:sz w:val="20"/>
                <w:szCs w:val="20"/>
              </w:rPr>
            </w:pPr>
            <w:r w:rsidRPr="00AC21F0">
              <w:rPr>
                <w:rFonts w:ascii="Times New Roman" w:hAnsi="Times New Roman" w:cs="Times New Roman"/>
                <w:iCs/>
                <w:color w:val="000000" w:themeColor="text1"/>
                <w:sz w:val="20"/>
                <w:szCs w:val="20"/>
              </w:rPr>
              <w:t>Article 7</w:t>
            </w:r>
          </w:p>
          <w:p w14:paraId="30A0D5D0" w14:textId="0294C59C" w:rsidR="007C509C" w:rsidRPr="00AC21F0" w:rsidRDefault="00201DBB" w:rsidP="006A0740">
            <w:pPr>
              <w:spacing w:line="240" w:lineRule="atLeast"/>
              <w:jc w:val="center"/>
              <w:rPr>
                <w:rFonts w:ascii="Times New Roman" w:hAnsi="Times New Roman" w:cs="Times New Roman"/>
                <w:iCs/>
                <w:color w:val="000000" w:themeColor="text1"/>
                <w:sz w:val="20"/>
                <w:szCs w:val="20"/>
              </w:rPr>
            </w:pPr>
            <w:r w:rsidRPr="00AC21F0">
              <w:rPr>
                <w:rFonts w:ascii="Times New Roman" w:hAnsi="Times New Roman" w:cs="Times New Roman"/>
                <w:iCs/>
                <w:color w:val="000000" w:themeColor="text1"/>
                <w:sz w:val="20"/>
                <w:szCs w:val="20"/>
              </w:rPr>
              <w:lastRenderedPageBreak/>
              <w:t>Exemptions from reporting</w:t>
            </w:r>
          </w:p>
          <w:p w14:paraId="5E37C130" w14:textId="547CF5C3" w:rsidR="003C045B" w:rsidRPr="00AC21F0" w:rsidRDefault="003C045B" w:rsidP="006A0740">
            <w:pPr>
              <w:spacing w:line="240" w:lineRule="atLeast"/>
              <w:jc w:val="center"/>
              <w:rPr>
                <w:rFonts w:ascii="Times New Roman" w:eastAsia="Calibri" w:hAnsi="Times New Roman" w:cs="Times New Roman"/>
                <w:i/>
                <w:iCs/>
                <w:sz w:val="20"/>
                <w:szCs w:val="20"/>
                <w:lang w:val="en-US"/>
              </w:rPr>
            </w:pPr>
          </w:p>
        </w:tc>
        <w:tc>
          <w:tcPr>
            <w:tcW w:w="720" w:type="dxa"/>
            <w:shd w:val="clear" w:color="auto" w:fill="D0CECE" w:themeFill="background2" w:themeFillShade="E6"/>
          </w:tcPr>
          <w:p w14:paraId="1BFB2DE6" w14:textId="7E8BCE79" w:rsidR="003C045B" w:rsidRPr="00AC21F0" w:rsidRDefault="003C045B" w:rsidP="006A0740">
            <w:pPr>
              <w:spacing w:line="240" w:lineRule="atLeast"/>
              <w:jc w:val="center"/>
              <w:rPr>
                <w:rFonts w:ascii="Times New Roman" w:eastAsia="Calibri" w:hAnsi="Times New Roman" w:cs="Times New Roman"/>
                <w:i/>
                <w:iCs/>
                <w:sz w:val="20"/>
                <w:szCs w:val="20"/>
                <w:lang w:val="en-US"/>
              </w:rPr>
            </w:pPr>
          </w:p>
        </w:tc>
        <w:tc>
          <w:tcPr>
            <w:tcW w:w="3510" w:type="dxa"/>
            <w:shd w:val="clear" w:color="auto" w:fill="D0CECE" w:themeFill="background2" w:themeFillShade="E6"/>
          </w:tcPr>
          <w:p w14:paraId="0E1C93C5" w14:textId="77777777" w:rsidR="003C045B" w:rsidRPr="00AC21F0" w:rsidRDefault="003C045B" w:rsidP="006A0740">
            <w:pPr>
              <w:spacing w:line="240" w:lineRule="atLeast"/>
              <w:rPr>
                <w:rFonts w:ascii="Times New Roman" w:eastAsia="Calibri" w:hAnsi="Times New Roman" w:cs="Times New Roman"/>
                <w:sz w:val="20"/>
                <w:szCs w:val="20"/>
                <w:lang w:val="en-US"/>
              </w:rPr>
            </w:pPr>
          </w:p>
        </w:tc>
      </w:tr>
      <w:tr w:rsidR="003C045B" w:rsidRPr="00AC21F0" w14:paraId="602A0892" w14:textId="77777777" w:rsidTr="007022FA">
        <w:trPr>
          <w:trHeight w:val="3761"/>
        </w:trPr>
        <w:tc>
          <w:tcPr>
            <w:tcW w:w="540" w:type="dxa"/>
          </w:tcPr>
          <w:p w14:paraId="176CFC32" w14:textId="7CC0D92E"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tcPr>
          <w:p w14:paraId="4B13DA69" w14:textId="21A6A2F3" w:rsidR="003C045B" w:rsidRPr="00AC21F0" w:rsidRDefault="00147BF2" w:rsidP="006A0740">
            <w:pPr>
              <w:spacing w:line="240" w:lineRule="atLeast"/>
              <w:rPr>
                <w:rFonts w:ascii="Times New Roman" w:eastAsia="Times New Roman" w:hAnsi="Times New Roman" w:cs="Times New Roman"/>
                <w:sz w:val="20"/>
                <w:szCs w:val="20"/>
              </w:rPr>
            </w:pPr>
            <w:r w:rsidRPr="00AC21F0">
              <w:rPr>
                <w:rFonts w:ascii="Times New Roman" w:hAnsi="Times New Roman" w:cs="Times New Roman"/>
                <w:color w:val="333333"/>
                <w:sz w:val="20"/>
                <w:szCs w:val="20"/>
                <w:shd w:val="clear" w:color="auto" w:fill="FFFFFF"/>
              </w:rPr>
              <w:t>6. In accordance with Regulation (EU) 2016/679 of the European Parliament and of the Council </w:t>
            </w:r>
            <w:r w:rsidRPr="00AC21F0">
              <w:rPr>
                <w:rFonts w:ascii="Times New Roman" w:hAnsi="Times New Roman" w:cs="Times New Roman"/>
                <w:sz w:val="20"/>
                <w:szCs w:val="20"/>
              </w:rPr>
              <w:fldChar w:fldCharType="begin"/>
            </w:r>
            <w:r w:rsidRPr="00AC21F0">
              <w:rPr>
                <w:rFonts w:ascii="Times New Roman" w:hAnsi="Times New Roman" w:cs="Times New Roman"/>
                <w:sz w:val="20"/>
                <w:szCs w:val="20"/>
              </w:rPr>
              <w:instrText>HYPERLINK "https://eur-lex.europa.eu/legal-content/EN/TXT/?uri=CELEX:32020L0284" \l "ntr5-L_2020062EN.01000701-E0005"</w:instrText>
            </w:r>
            <w:r w:rsidRPr="00AC21F0">
              <w:rPr>
                <w:rFonts w:ascii="Times New Roman" w:hAnsi="Times New Roman" w:cs="Times New Roman"/>
                <w:sz w:val="20"/>
                <w:szCs w:val="20"/>
              </w:rPr>
            </w:r>
            <w:r w:rsidRPr="00AC21F0">
              <w:rPr>
                <w:rFonts w:ascii="Times New Roman" w:hAnsi="Times New Roman" w:cs="Times New Roman"/>
                <w:sz w:val="20"/>
                <w:szCs w:val="20"/>
              </w:rPr>
              <w:fldChar w:fldCharType="separate"/>
            </w:r>
            <w:r w:rsidRPr="00AC21F0">
              <w:rPr>
                <w:rStyle w:val="Hyperlink"/>
                <w:rFonts w:ascii="Times New Roman" w:hAnsi="Times New Roman" w:cs="Times New Roman"/>
                <w:color w:val="0E47CB"/>
                <w:sz w:val="20"/>
                <w:szCs w:val="20"/>
                <w:u w:val="none"/>
                <w:shd w:val="clear" w:color="auto" w:fill="FFFFFF"/>
              </w:rPr>
              <w:t>(</w:t>
            </w:r>
            <w:r w:rsidRPr="00AC21F0">
              <w:rPr>
                <w:rStyle w:val="oj-super"/>
                <w:rFonts w:ascii="Times New Roman" w:hAnsi="Times New Roman" w:cs="Times New Roman"/>
                <w:color w:val="0E47CB"/>
                <w:sz w:val="20"/>
                <w:szCs w:val="20"/>
                <w:shd w:val="clear" w:color="auto" w:fill="FFFFFF"/>
                <w:vertAlign w:val="superscript"/>
              </w:rPr>
              <w:t>5</w:t>
            </w:r>
            <w:r w:rsidRPr="00AC21F0">
              <w:rPr>
                <w:rStyle w:val="Hyperlink"/>
                <w:rFonts w:ascii="Times New Roman" w:hAnsi="Times New Roman" w:cs="Times New Roman"/>
                <w:color w:val="0E47CB"/>
                <w:sz w:val="20"/>
                <w:szCs w:val="20"/>
                <w:u w:val="none"/>
                <w:shd w:val="clear" w:color="auto" w:fill="FFFFFF"/>
              </w:rPr>
              <w:t>)</w:t>
            </w:r>
            <w:r w:rsidRPr="00AC21F0">
              <w:rPr>
                <w:rFonts w:ascii="Times New Roman" w:hAnsi="Times New Roman" w:cs="Times New Roman"/>
                <w:sz w:val="20"/>
                <w:szCs w:val="20"/>
              </w:rPr>
              <w:fldChar w:fldCharType="end"/>
            </w:r>
            <w:r w:rsidRPr="00AC21F0">
              <w:rPr>
                <w:rFonts w:ascii="Times New Roman" w:hAnsi="Times New Roman" w:cs="Times New Roman"/>
                <w:color w:val="333333"/>
                <w:sz w:val="20"/>
                <w:szCs w:val="20"/>
                <w:shd w:val="clear" w:color="auto" w:fill="FFFFFF"/>
              </w:rPr>
              <w:t>, it is important that the obligation of a payment service provider to retain and provide information in relation to a cross-border payment be proportionate and limited to that which is necessary for Member States to combat VAT fraud. Furthermore, the only information relating to the payer that should be retained is the location of the payer. With regard to information relating to the payee and the payment itself, payment service providers should only be required to retain and report to the tax authorities information which is necessary for those authorities to detect possible fraudsters and to carry out tax controls. Payment service providers should therefore be required to keep records only on those cross-border payments which are likely to indicate economic activities. The introduction of a ceiling based on the number of payments received by a payee over the course of a calendar quarter would give an indication whether those payments were received as part of an economic activity, thereby excluding payments for non-commercial reasons. Where such a ceiling is reached, the record keeping and reporting obligations of the payment service provider would be triggered.</w:t>
            </w:r>
          </w:p>
        </w:tc>
        <w:tc>
          <w:tcPr>
            <w:tcW w:w="450" w:type="dxa"/>
          </w:tcPr>
          <w:p w14:paraId="08D27D38" w14:textId="022BD9E7" w:rsidR="003C045B" w:rsidRPr="00AC21F0" w:rsidRDefault="003C045B" w:rsidP="006A0740">
            <w:pPr>
              <w:spacing w:line="240" w:lineRule="atLeast"/>
              <w:jc w:val="center"/>
              <w:rPr>
                <w:rFonts w:ascii="Times New Roman" w:eastAsia="Calibri" w:hAnsi="Times New Roman" w:cs="Times New Roman"/>
                <w:sz w:val="20"/>
                <w:szCs w:val="20"/>
              </w:rPr>
            </w:pPr>
          </w:p>
        </w:tc>
        <w:tc>
          <w:tcPr>
            <w:tcW w:w="644" w:type="dxa"/>
          </w:tcPr>
          <w:p w14:paraId="76515CA7" w14:textId="17646964"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5040" w:type="dxa"/>
            <w:tcBorders>
              <w:bottom w:val="dashed" w:sz="4" w:space="0" w:color="auto"/>
            </w:tcBorders>
          </w:tcPr>
          <w:p w14:paraId="06C48200" w14:textId="2B504CE9" w:rsidR="00201DBB" w:rsidRDefault="00BF1CFB" w:rsidP="006A0740">
            <w:pPr>
              <w:spacing w:line="240" w:lineRule="atLeast"/>
              <w:jc w:val="both"/>
              <w:rPr>
                <w:rFonts w:ascii="Times New Roman" w:hAnsi="Times New Roman" w:cs="Times New Roman"/>
                <w:color w:val="000000" w:themeColor="text1"/>
                <w:sz w:val="20"/>
                <w:szCs w:val="20"/>
              </w:rPr>
            </w:pPr>
            <w:r w:rsidRPr="00AC21F0">
              <w:rPr>
                <w:rFonts w:ascii="Times New Roman" w:hAnsi="Times New Roman" w:cs="Times New Roman"/>
                <w:color w:val="000000" w:themeColor="text1"/>
                <w:sz w:val="20"/>
                <w:szCs w:val="20"/>
              </w:rPr>
              <w:t>The payment service provider is exempt from the reporting obligation when:</w:t>
            </w:r>
          </w:p>
          <w:p w14:paraId="1835C5F5" w14:textId="77777777" w:rsidR="00AC21F0" w:rsidRPr="00AC21F0" w:rsidRDefault="00AC21F0" w:rsidP="006A0740">
            <w:pPr>
              <w:spacing w:line="240" w:lineRule="atLeast"/>
              <w:jc w:val="both"/>
              <w:rPr>
                <w:rFonts w:ascii="Times New Roman" w:eastAsia="Calibri" w:hAnsi="Times New Roman" w:cs="Times New Roman"/>
                <w:sz w:val="20"/>
                <w:szCs w:val="20"/>
              </w:rPr>
            </w:pPr>
          </w:p>
          <w:p w14:paraId="3BBBEFCD" w14:textId="77777777" w:rsidR="00201DBB" w:rsidRPr="00AC21F0" w:rsidRDefault="00201DBB" w:rsidP="006A0740">
            <w:pPr>
              <w:spacing w:line="240" w:lineRule="atLeast"/>
              <w:jc w:val="both"/>
              <w:rPr>
                <w:rFonts w:ascii="Times New Roman" w:eastAsia="Calibri" w:hAnsi="Times New Roman" w:cs="Times New Roman"/>
                <w:sz w:val="20"/>
                <w:szCs w:val="20"/>
              </w:rPr>
            </w:pPr>
            <w:r w:rsidRPr="00AC21F0">
              <w:rPr>
                <w:rFonts w:ascii="Times New Roman" w:eastAsia="Calibri" w:hAnsi="Times New Roman" w:cs="Times New Roman"/>
                <w:sz w:val="20"/>
                <w:szCs w:val="20"/>
              </w:rPr>
              <w:t>a)</w:t>
            </w:r>
            <w:r w:rsidRPr="00AC21F0">
              <w:rPr>
                <w:rFonts w:ascii="Times New Roman" w:eastAsia="Calibri" w:hAnsi="Times New Roman" w:cs="Times New Roman"/>
                <w:sz w:val="20"/>
                <w:szCs w:val="20"/>
              </w:rPr>
              <w:tab/>
              <w:t>where both the payer and the payee are located within the territory of the Republic of Albania;</w:t>
            </w:r>
          </w:p>
          <w:p w14:paraId="33EB4EFC" w14:textId="2EF9F757" w:rsidR="00201DBB" w:rsidRPr="00AC21F0" w:rsidRDefault="00201DBB" w:rsidP="006A0740">
            <w:pPr>
              <w:spacing w:line="240" w:lineRule="atLeast"/>
              <w:jc w:val="both"/>
              <w:rPr>
                <w:rFonts w:ascii="Times New Roman" w:eastAsia="Calibri" w:hAnsi="Times New Roman" w:cs="Times New Roman"/>
                <w:sz w:val="20"/>
                <w:szCs w:val="20"/>
              </w:rPr>
            </w:pPr>
            <w:r w:rsidRPr="00AC21F0">
              <w:rPr>
                <w:rFonts w:ascii="Times New Roman" w:eastAsia="Calibri" w:hAnsi="Times New Roman" w:cs="Times New Roman"/>
                <w:sz w:val="20"/>
                <w:szCs w:val="20"/>
              </w:rPr>
              <w:t>b)</w:t>
            </w:r>
            <w:r w:rsidRPr="00AC21F0">
              <w:rPr>
                <w:rFonts w:ascii="Times New Roman" w:eastAsia="Calibri" w:hAnsi="Times New Roman" w:cs="Times New Roman"/>
                <w:sz w:val="20"/>
                <w:szCs w:val="20"/>
              </w:rPr>
              <w:tab/>
              <w:t>where the number of payments to the same payee does not reach the threshold laid down in Article 9(2) of this Law</w:t>
            </w:r>
            <w:r w:rsidR="009A386A" w:rsidRPr="00AC21F0">
              <w:rPr>
                <w:rFonts w:ascii="Times New Roman" w:eastAsia="Calibri" w:hAnsi="Times New Roman" w:cs="Times New Roman"/>
                <w:sz w:val="20"/>
                <w:szCs w:val="20"/>
              </w:rPr>
              <w:t>.</w:t>
            </w:r>
          </w:p>
          <w:p w14:paraId="2A5C5DAB" w14:textId="1F492E33" w:rsidR="00952ABD" w:rsidRPr="00AC21F0" w:rsidRDefault="00952ABD" w:rsidP="006A0740">
            <w:pPr>
              <w:spacing w:line="240" w:lineRule="atLeast"/>
              <w:jc w:val="both"/>
              <w:rPr>
                <w:rFonts w:ascii="Times New Roman" w:eastAsia="Calibri" w:hAnsi="Times New Roman" w:cs="Times New Roman"/>
                <w:sz w:val="20"/>
                <w:szCs w:val="20"/>
              </w:rPr>
            </w:pPr>
          </w:p>
        </w:tc>
        <w:tc>
          <w:tcPr>
            <w:tcW w:w="720" w:type="dxa"/>
            <w:tcBorders>
              <w:bottom w:val="dashed" w:sz="4" w:space="0" w:color="auto"/>
            </w:tcBorders>
          </w:tcPr>
          <w:p w14:paraId="34822B49" w14:textId="5A866A1C" w:rsidR="003C045B" w:rsidRPr="00AC21F0" w:rsidRDefault="00147BF2" w:rsidP="006A0740">
            <w:pPr>
              <w:spacing w:line="240" w:lineRule="atLeast"/>
              <w:jc w:val="center"/>
              <w:rPr>
                <w:rFonts w:ascii="Times New Roman" w:eastAsia="Calibri" w:hAnsi="Times New Roman" w:cs="Times New Roman"/>
                <w:sz w:val="20"/>
                <w:szCs w:val="20"/>
              </w:rPr>
            </w:pPr>
            <w:r w:rsidRPr="00AC21F0">
              <w:rPr>
                <w:rFonts w:ascii="Times New Roman" w:eastAsia="Calibri" w:hAnsi="Times New Roman" w:cs="Times New Roman"/>
                <w:sz w:val="20"/>
                <w:szCs w:val="20"/>
              </w:rPr>
              <w:t>F</w:t>
            </w:r>
          </w:p>
        </w:tc>
        <w:tc>
          <w:tcPr>
            <w:tcW w:w="3510" w:type="dxa"/>
            <w:tcBorders>
              <w:bottom w:val="dashed" w:sz="4" w:space="0" w:color="auto"/>
            </w:tcBorders>
          </w:tcPr>
          <w:p w14:paraId="0BD0D33E" w14:textId="77777777" w:rsidR="0009621F" w:rsidRPr="00AC21F0" w:rsidRDefault="00147BF2" w:rsidP="006A0740">
            <w:pPr>
              <w:spacing w:line="240" w:lineRule="atLeast"/>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Compliant</w:t>
            </w:r>
            <w:r w:rsidR="00DE1D10" w:rsidRPr="00AC21F0">
              <w:rPr>
                <w:rFonts w:ascii="Times New Roman" w:eastAsia="Times New Roman" w:hAnsi="Times New Roman" w:cs="Times New Roman"/>
                <w:sz w:val="20"/>
                <w:szCs w:val="20"/>
              </w:rPr>
              <w:t>.</w:t>
            </w:r>
          </w:p>
          <w:p w14:paraId="2DCE6959" w14:textId="77777777" w:rsidR="0009621F" w:rsidRPr="00AC21F0" w:rsidRDefault="0009621F" w:rsidP="006A0740">
            <w:pPr>
              <w:spacing w:line="240" w:lineRule="atLeast"/>
              <w:rPr>
                <w:rFonts w:ascii="Times New Roman" w:eastAsia="Times New Roman" w:hAnsi="Times New Roman" w:cs="Times New Roman"/>
                <w:sz w:val="20"/>
                <w:szCs w:val="20"/>
              </w:rPr>
            </w:pPr>
          </w:p>
          <w:p w14:paraId="3D7069AE" w14:textId="710A28DC" w:rsidR="00DE1D10" w:rsidRPr="00AC21F0" w:rsidRDefault="00DE1D10" w:rsidP="006A0740">
            <w:pPr>
              <w:spacing w:line="240" w:lineRule="atLeast"/>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Cases of exemptions from reporting are understandable by the Premabule ad the whole reading of the provisions of the Directive.</w:t>
            </w:r>
          </w:p>
          <w:p w14:paraId="69C86EE8" w14:textId="29B16C49" w:rsidR="00035075" w:rsidRPr="00AC21F0" w:rsidRDefault="00DE1D10" w:rsidP="006A0740">
            <w:pPr>
              <w:spacing w:line="240" w:lineRule="atLeast"/>
              <w:rPr>
                <w:rFonts w:ascii="Times New Roman" w:hAnsi="Times New Roman" w:cs="Times New Roman"/>
                <w:sz w:val="20"/>
                <w:szCs w:val="20"/>
              </w:rPr>
            </w:pPr>
            <w:r w:rsidRPr="00AC21F0">
              <w:rPr>
                <w:rFonts w:ascii="Times New Roman" w:eastAsia="Times New Roman" w:hAnsi="Times New Roman" w:cs="Times New Roman"/>
                <w:sz w:val="20"/>
                <w:szCs w:val="20"/>
              </w:rPr>
              <w:t xml:space="preserve">In accordance with them, Albania has introduced article 7 as </w:t>
            </w:r>
            <w:r w:rsidR="00035075" w:rsidRPr="00AC21F0">
              <w:rPr>
                <w:rFonts w:ascii="Times New Roman" w:eastAsia="Times New Roman" w:hAnsi="Times New Roman" w:cs="Times New Roman"/>
                <w:sz w:val="20"/>
                <w:szCs w:val="20"/>
              </w:rPr>
              <w:t xml:space="preserve"> an additional national provision for clarity and legal certainty and </w:t>
            </w:r>
            <w:r w:rsidR="00035075" w:rsidRPr="00AC21F0">
              <w:rPr>
                <w:rFonts w:ascii="Times New Roman" w:eastAsia="Calibri" w:hAnsi="Times New Roman" w:cs="Times New Roman"/>
                <w:iCs/>
                <w:sz w:val="20"/>
                <w:szCs w:val="20"/>
                <w:lang w:val="en-US"/>
              </w:rPr>
              <w:t>do not introduce any additional exemptions</w:t>
            </w:r>
            <w:r w:rsidR="00035075" w:rsidRPr="00AC21F0">
              <w:rPr>
                <w:rFonts w:ascii="Times New Roman" w:hAnsi="Times New Roman" w:cs="Times New Roman"/>
                <w:sz w:val="20"/>
                <w:szCs w:val="20"/>
              </w:rPr>
              <w:t xml:space="preserve"> </w:t>
            </w:r>
          </w:p>
          <w:p w14:paraId="2CB23ED8" w14:textId="77777777" w:rsidR="00035075" w:rsidRPr="00AC21F0" w:rsidRDefault="00035075" w:rsidP="006A0740">
            <w:pPr>
              <w:spacing w:line="240" w:lineRule="atLeast"/>
              <w:rPr>
                <w:rFonts w:ascii="Times New Roman" w:hAnsi="Times New Roman" w:cs="Times New Roman"/>
                <w:sz w:val="20"/>
                <w:szCs w:val="20"/>
              </w:rPr>
            </w:pPr>
          </w:p>
          <w:p w14:paraId="00C351E9" w14:textId="7E592681" w:rsidR="003C045B" w:rsidRPr="00AC21F0" w:rsidRDefault="003C045B" w:rsidP="006A0740">
            <w:pPr>
              <w:spacing w:line="240" w:lineRule="atLeast"/>
              <w:rPr>
                <w:rFonts w:ascii="Times New Roman" w:eastAsia="Calibri" w:hAnsi="Times New Roman" w:cs="Times New Roman"/>
                <w:sz w:val="20"/>
                <w:szCs w:val="20"/>
                <w:lang w:val="en-US"/>
              </w:rPr>
            </w:pPr>
            <w:r w:rsidRPr="00AC21F0">
              <w:rPr>
                <w:rFonts w:ascii="Times New Roman" w:hAnsi="Times New Roman" w:cs="Times New Roman"/>
                <w:sz w:val="20"/>
                <w:szCs w:val="20"/>
              </w:rPr>
              <w:t xml:space="preserve">Article 7 of the law on exemptions from the obligation to report cross-border payments is in compliance with the principles of the directives and regulations of the European Union, particularly with CESOP. </w:t>
            </w:r>
          </w:p>
        </w:tc>
      </w:tr>
      <w:tr w:rsidR="003C045B" w:rsidRPr="00AC21F0" w14:paraId="5A93F6C3" w14:textId="77777777" w:rsidTr="00990A3C">
        <w:trPr>
          <w:trHeight w:val="1097"/>
        </w:trPr>
        <w:tc>
          <w:tcPr>
            <w:tcW w:w="540" w:type="dxa"/>
          </w:tcPr>
          <w:p w14:paraId="4797BA55" w14:textId="598CB9A2"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shd w:val="clear" w:color="auto" w:fill="D0CECE" w:themeFill="background2" w:themeFillShade="E6"/>
          </w:tcPr>
          <w:p w14:paraId="2F672305" w14:textId="77777777" w:rsidR="003C045B" w:rsidRPr="00AC21F0" w:rsidRDefault="003C045B" w:rsidP="006A0740">
            <w:pPr>
              <w:shd w:val="clear" w:color="auto" w:fill="FFFFFF"/>
              <w:spacing w:before="360" w:after="120" w:line="240" w:lineRule="atLeast"/>
              <w:jc w:val="center"/>
              <w:rPr>
                <w:rFonts w:ascii="Times New Roman" w:eastAsia="Times New Roman" w:hAnsi="Times New Roman" w:cs="Times New Roman"/>
                <w:i/>
                <w:iCs/>
                <w:color w:val="333333"/>
                <w:sz w:val="20"/>
                <w:szCs w:val="20"/>
              </w:rPr>
            </w:pPr>
            <w:r w:rsidRPr="00AC21F0">
              <w:rPr>
                <w:rFonts w:ascii="Times New Roman" w:eastAsia="Times New Roman" w:hAnsi="Times New Roman" w:cs="Times New Roman"/>
                <w:i/>
                <w:iCs/>
                <w:color w:val="333333"/>
                <w:sz w:val="20"/>
                <w:szCs w:val="20"/>
              </w:rPr>
              <w:t>Article 243c</w:t>
            </w:r>
          </w:p>
          <w:p w14:paraId="22D42666" w14:textId="4A55D301" w:rsidR="003C045B" w:rsidRPr="00AC21F0" w:rsidRDefault="003C045B" w:rsidP="006A0740">
            <w:pPr>
              <w:spacing w:line="240" w:lineRule="atLeast"/>
              <w:jc w:val="both"/>
              <w:rPr>
                <w:rFonts w:ascii="Times New Roman" w:eastAsia="Calibri" w:hAnsi="Times New Roman" w:cs="Times New Roman"/>
                <w:i/>
                <w:iCs/>
                <w:sz w:val="20"/>
                <w:szCs w:val="20"/>
                <w:lang w:val="en-US"/>
              </w:rPr>
            </w:pPr>
          </w:p>
        </w:tc>
        <w:tc>
          <w:tcPr>
            <w:tcW w:w="450" w:type="dxa"/>
            <w:shd w:val="clear" w:color="auto" w:fill="D0CECE" w:themeFill="background2" w:themeFillShade="E6"/>
          </w:tcPr>
          <w:p w14:paraId="28D874F5" w14:textId="7BD8E1A8" w:rsidR="003C045B" w:rsidRPr="00AC21F0" w:rsidRDefault="003C045B" w:rsidP="006A0740">
            <w:pPr>
              <w:spacing w:line="240" w:lineRule="atLeast"/>
              <w:jc w:val="center"/>
              <w:rPr>
                <w:rFonts w:ascii="Times New Roman" w:eastAsia="Calibri" w:hAnsi="Times New Roman" w:cs="Times New Roman"/>
                <w:i/>
                <w:iCs/>
                <w:sz w:val="20"/>
                <w:szCs w:val="20"/>
              </w:rPr>
            </w:pPr>
          </w:p>
        </w:tc>
        <w:tc>
          <w:tcPr>
            <w:tcW w:w="644" w:type="dxa"/>
            <w:shd w:val="clear" w:color="auto" w:fill="D0CECE" w:themeFill="background2" w:themeFillShade="E6"/>
          </w:tcPr>
          <w:p w14:paraId="0A5D8D1F" w14:textId="77777777" w:rsidR="003C045B" w:rsidRPr="00AC21F0" w:rsidRDefault="003C045B" w:rsidP="006A0740">
            <w:pPr>
              <w:spacing w:line="240" w:lineRule="atLeast"/>
              <w:jc w:val="center"/>
              <w:rPr>
                <w:rFonts w:ascii="Times New Roman" w:eastAsia="Calibri" w:hAnsi="Times New Roman" w:cs="Times New Roman"/>
                <w:i/>
                <w:iCs/>
                <w:sz w:val="20"/>
                <w:szCs w:val="20"/>
                <w:lang w:val="en-US"/>
              </w:rPr>
            </w:pPr>
          </w:p>
        </w:tc>
        <w:tc>
          <w:tcPr>
            <w:tcW w:w="5040" w:type="dxa"/>
            <w:shd w:val="clear" w:color="auto" w:fill="D0CECE" w:themeFill="background2" w:themeFillShade="E6"/>
          </w:tcPr>
          <w:p w14:paraId="4D7CC566" w14:textId="77777777" w:rsidR="00201DBB" w:rsidRPr="00AC21F0" w:rsidRDefault="00201DBB" w:rsidP="006A0740">
            <w:pPr>
              <w:spacing w:line="240" w:lineRule="atLeast"/>
              <w:jc w:val="center"/>
              <w:rPr>
                <w:rFonts w:ascii="Times New Roman" w:hAnsi="Times New Roman" w:cs="Times New Roman"/>
                <w:iCs/>
                <w:color w:val="000000" w:themeColor="text1"/>
                <w:sz w:val="20"/>
                <w:szCs w:val="20"/>
              </w:rPr>
            </w:pPr>
            <w:r w:rsidRPr="00AC21F0">
              <w:rPr>
                <w:rFonts w:ascii="Times New Roman" w:hAnsi="Times New Roman" w:cs="Times New Roman"/>
                <w:iCs/>
                <w:color w:val="000000" w:themeColor="text1"/>
                <w:sz w:val="20"/>
                <w:szCs w:val="20"/>
              </w:rPr>
              <w:t xml:space="preserve">Article 8 </w:t>
            </w:r>
          </w:p>
          <w:p w14:paraId="504D1031" w14:textId="2D416A5C" w:rsidR="003C045B" w:rsidRPr="00AC21F0" w:rsidRDefault="00201DBB" w:rsidP="006A0740">
            <w:pPr>
              <w:spacing w:line="240" w:lineRule="atLeast"/>
              <w:jc w:val="center"/>
              <w:rPr>
                <w:rFonts w:ascii="Times New Roman" w:hAnsi="Times New Roman" w:cs="Times New Roman"/>
                <w:i/>
                <w:iCs/>
                <w:color w:val="000000" w:themeColor="text1"/>
                <w:sz w:val="20"/>
                <w:szCs w:val="20"/>
              </w:rPr>
            </w:pPr>
            <w:r w:rsidRPr="00AC21F0">
              <w:rPr>
                <w:rFonts w:ascii="Times New Roman" w:hAnsi="Times New Roman" w:cs="Times New Roman"/>
                <w:iCs/>
                <w:color w:val="000000" w:themeColor="text1"/>
                <w:sz w:val="20"/>
                <w:szCs w:val="20"/>
              </w:rPr>
              <w:t xml:space="preserve"> Location of the payer and the payee</w:t>
            </w:r>
          </w:p>
          <w:p w14:paraId="41FBA751" w14:textId="2B0759BD" w:rsidR="003C045B" w:rsidRPr="00AC21F0" w:rsidRDefault="003C045B" w:rsidP="006A0740">
            <w:pPr>
              <w:spacing w:line="240" w:lineRule="atLeast"/>
              <w:jc w:val="center"/>
              <w:rPr>
                <w:rFonts w:ascii="Times New Roman" w:eastAsia="Calibri" w:hAnsi="Times New Roman" w:cs="Times New Roman"/>
                <w:iCs/>
                <w:sz w:val="20"/>
                <w:szCs w:val="20"/>
                <w:lang w:val="en-US"/>
              </w:rPr>
            </w:pPr>
          </w:p>
        </w:tc>
        <w:tc>
          <w:tcPr>
            <w:tcW w:w="720" w:type="dxa"/>
            <w:shd w:val="clear" w:color="auto" w:fill="D0CECE" w:themeFill="background2" w:themeFillShade="E6"/>
          </w:tcPr>
          <w:p w14:paraId="6E4EAC15" w14:textId="0D58B86B" w:rsidR="003C045B" w:rsidRPr="00AC21F0" w:rsidRDefault="003C045B" w:rsidP="006A0740">
            <w:pPr>
              <w:spacing w:line="240" w:lineRule="atLeast"/>
              <w:jc w:val="center"/>
              <w:rPr>
                <w:rFonts w:ascii="Times New Roman" w:eastAsia="Calibri" w:hAnsi="Times New Roman" w:cs="Times New Roman"/>
                <w:i/>
                <w:iCs/>
                <w:sz w:val="20"/>
                <w:szCs w:val="20"/>
                <w:lang w:val="en-US"/>
              </w:rPr>
            </w:pPr>
          </w:p>
        </w:tc>
        <w:tc>
          <w:tcPr>
            <w:tcW w:w="3510" w:type="dxa"/>
            <w:shd w:val="clear" w:color="auto" w:fill="D0CECE" w:themeFill="background2" w:themeFillShade="E6"/>
          </w:tcPr>
          <w:p w14:paraId="5B2CA3C7" w14:textId="1DD4A019" w:rsidR="003C045B" w:rsidRPr="00AC21F0" w:rsidRDefault="003C045B" w:rsidP="006A0740">
            <w:pPr>
              <w:spacing w:line="240" w:lineRule="atLeast"/>
              <w:rPr>
                <w:rFonts w:ascii="Times New Roman" w:eastAsia="Calibri" w:hAnsi="Times New Roman" w:cs="Times New Roman"/>
                <w:i/>
                <w:iCs/>
                <w:sz w:val="20"/>
                <w:szCs w:val="20"/>
                <w:lang w:val="en-US"/>
              </w:rPr>
            </w:pPr>
          </w:p>
        </w:tc>
      </w:tr>
      <w:tr w:rsidR="003C045B" w:rsidRPr="00AC21F0" w14:paraId="7AB48AF4" w14:textId="77777777" w:rsidTr="004738EE">
        <w:tc>
          <w:tcPr>
            <w:tcW w:w="540" w:type="dxa"/>
          </w:tcPr>
          <w:p w14:paraId="796E7F23" w14:textId="465E4252"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tcPr>
          <w:p w14:paraId="22B74455" w14:textId="77777777" w:rsidR="003C045B" w:rsidRPr="00AC21F0" w:rsidRDefault="003C045B" w:rsidP="006A0740">
            <w:pPr>
              <w:shd w:val="clear" w:color="auto" w:fill="FFFFFF"/>
              <w:spacing w:before="120" w:line="240" w:lineRule="atLeast"/>
              <w:jc w:val="both"/>
              <w:rPr>
                <w:rFonts w:ascii="Times New Roman" w:eastAsia="Times New Roman" w:hAnsi="Times New Roman" w:cs="Times New Roman"/>
                <w:color w:val="333333"/>
                <w:sz w:val="20"/>
                <w:szCs w:val="20"/>
              </w:rPr>
            </w:pPr>
            <w:r w:rsidRPr="00AC21F0">
              <w:rPr>
                <w:rFonts w:ascii="Times New Roman" w:eastAsia="Times New Roman" w:hAnsi="Times New Roman" w:cs="Times New Roman"/>
                <w:color w:val="333333"/>
                <w:sz w:val="20"/>
                <w:szCs w:val="20"/>
              </w:rPr>
              <w:t>1.   For the application of the second subparagraph of Article 243b(1) and without prejudice to the provisions of Title V, the location of the payer shall be considered to be in the Member State corresponding to:</w:t>
            </w:r>
          </w:p>
          <w:tbl>
            <w:tblPr>
              <w:tblW w:w="5000" w:type="pct"/>
              <w:tblLayout w:type="fixed"/>
              <w:tblCellMar>
                <w:left w:w="0" w:type="dxa"/>
                <w:right w:w="0" w:type="dxa"/>
              </w:tblCellMar>
              <w:tblLook w:val="04A0" w:firstRow="1" w:lastRow="0" w:firstColumn="1" w:lastColumn="0" w:noHBand="0" w:noVBand="1"/>
            </w:tblPr>
            <w:tblGrid>
              <w:gridCol w:w="156"/>
              <w:gridCol w:w="5028"/>
            </w:tblGrid>
            <w:tr w:rsidR="003C045B" w:rsidRPr="00AC21F0" w14:paraId="36B385A4" w14:textId="77777777" w:rsidTr="0042577F">
              <w:tc>
                <w:tcPr>
                  <w:tcW w:w="267" w:type="dxa"/>
                  <w:hideMark/>
                </w:tcPr>
                <w:p w14:paraId="6BC533FA"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lastRenderedPageBreak/>
                    <w:t>(a)</w:t>
                  </w:r>
                </w:p>
              </w:tc>
              <w:tc>
                <w:tcPr>
                  <w:tcW w:w="9093" w:type="dxa"/>
                  <w:hideMark/>
                </w:tcPr>
                <w:p w14:paraId="0767DDC5"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the IBAN of the payer’s payment account or any other identifier which unambiguously identifies, and gives the location of, the payer, or in the absence of such identifiers,</w:t>
                  </w:r>
                </w:p>
              </w:tc>
            </w:tr>
          </w:tbl>
          <w:p w14:paraId="201AAB76"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64"/>
              <w:gridCol w:w="5020"/>
            </w:tblGrid>
            <w:tr w:rsidR="003C045B" w:rsidRPr="00AC21F0" w14:paraId="0F3C4865" w14:textId="77777777" w:rsidTr="0042577F">
              <w:tc>
                <w:tcPr>
                  <w:tcW w:w="280" w:type="dxa"/>
                  <w:hideMark/>
                </w:tcPr>
                <w:p w14:paraId="3A30A143"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(b)</w:t>
                  </w:r>
                </w:p>
              </w:tc>
              <w:tc>
                <w:tcPr>
                  <w:tcW w:w="9080" w:type="dxa"/>
                  <w:hideMark/>
                </w:tcPr>
                <w:p w14:paraId="76A7678B"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the BIC or any other business identifier code that unambiguously identifies, and gives the location of, the payment service provider acting on behalf of the payer.</w:t>
                  </w:r>
                </w:p>
              </w:tc>
            </w:tr>
          </w:tbl>
          <w:p w14:paraId="16B1F8C6" w14:textId="77777777" w:rsidR="003C045B" w:rsidRPr="00AC21F0" w:rsidRDefault="003C045B" w:rsidP="006A0740">
            <w:pPr>
              <w:shd w:val="clear" w:color="auto" w:fill="FFFFFF"/>
              <w:spacing w:before="120" w:line="240" w:lineRule="atLeast"/>
              <w:jc w:val="both"/>
              <w:rPr>
                <w:rFonts w:ascii="Times New Roman" w:eastAsia="Times New Roman" w:hAnsi="Times New Roman" w:cs="Times New Roman"/>
                <w:color w:val="333333"/>
                <w:sz w:val="20"/>
                <w:szCs w:val="20"/>
              </w:rPr>
            </w:pPr>
            <w:r w:rsidRPr="00AC21F0">
              <w:rPr>
                <w:rFonts w:ascii="Times New Roman" w:eastAsia="Times New Roman" w:hAnsi="Times New Roman" w:cs="Times New Roman"/>
                <w:color w:val="333333"/>
                <w:sz w:val="20"/>
                <w:szCs w:val="20"/>
              </w:rPr>
              <w:t>2.   For the application of the second subparagraph of Article 243b(1), the location of the payee shall be considered to be in the Member State, third territory or third country corresponding to:</w:t>
            </w:r>
          </w:p>
          <w:tbl>
            <w:tblPr>
              <w:tblW w:w="5000" w:type="pct"/>
              <w:tblLayout w:type="fixed"/>
              <w:tblCellMar>
                <w:left w:w="0" w:type="dxa"/>
                <w:right w:w="0" w:type="dxa"/>
              </w:tblCellMar>
              <w:tblLook w:val="04A0" w:firstRow="1" w:lastRow="0" w:firstColumn="1" w:lastColumn="0" w:noHBand="0" w:noVBand="1"/>
            </w:tblPr>
            <w:tblGrid>
              <w:gridCol w:w="156"/>
              <w:gridCol w:w="5028"/>
            </w:tblGrid>
            <w:tr w:rsidR="003C045B" w:rsidRPr="00AC21F0" w14:paraId="6A333BD7" w14:textId="77777777" w:rsidTr="0042577F">
              <w:tc>
                <w:tcPr>
                  <w:tcW w:w="267" w:type="dxa"/>
                  <w:hideMark/>
                </w:tcPr>
                <w:p w14:paraId="44A1929B"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(a)</w:t>
                  </w:r>
                </w:p>
              </w:tc>
              <w:tc>
                <w:tcPr>
                  <w:tcW w:w="9093" w:type="dxa"/>
                  <w:hideMark/>
                </w:tcPr>
                <w:p w14:paraId="05821383"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the IBAN of the payee’s payment account or any other identifier which unambiguously identifies, and gives the location of, the payee, or in the absence of such identifiers,</w:t>
                  </w:r>
                </w:p>
              </w:tc>
            </w:tr>
          </w:tbl>
          <w:p w14:paraId="4A8B8A3C"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64"/>
              <w:gridCol w:w="5020"/>
            </w:tblGrid>
            <w:tr w:rsidR="003C045B" w:rsidRPr="00AC21F0" w14:paraId="0010A979" w14:textId="77777777" w:rsidTr="0042577F">
              <w:tc>
                <w:tcPr>
                  <w:tcW w:w="280" w:type="dxa"/>
                  <w:hideMark/>
                </w:tcPr>
                <w:p w14:paraId="6643058C"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(b)</w:t>
                  </w:r>
                </w:p>
              </w:tc>
              <w:tc>
                <w:tcPr>
                  <w:tcW w:w="9080" w:type="dxa"/>
                  <w:hideMark/>
                </w:tcPr>
                <w:p w14:paraId="3438BF53"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the BIC or any other business identifier code that unambiguously identifies, and gives the location of, the payment service provider acting on behalf of the payee.</w:t>
                  </w:r>
                </w:p>
              </w:tc>
            </w:tr>
          </w:tbl>
          <w:p w14:paraId="1F105BED" w14:textId="7AF93B20" w:rsidR="003C045B" w:rsidRPr="00AC21F0" w:rsidRDefault="003C045B" w:rsidP="006A0740">
            <w:pPr>
              <w:spacing w:line="240" w:lineRule="atLeast"/>
              <w:jc w:val="both"/>
              <w:rPr>
                <w:rFonts w:ascii="Times New Roman" w:eastAsia="Calibri" w:hAnsi="Times New Roman" w:cs="Times New Roman"/>
                <w:iCs/>
                <w:sz w:val="20"/>
                <w:szCs w:val="20"/>
                <w:lang w:val="en-US"/>
              </w:rPr>
            </w:pPr>
          </w:p>
        </w:tc>
        <w:tc>
          <w:tcPr>
            <w:tcW w:w="450" w:type="dxa"/>
          </w:tcPr>
          <w:p w14:paraId="3E152E78" w14:textId="127DB0ED" w:rsidR="003C045B" w:rsidRPr="00AC21F0" w:rsidRDefault="003C045B" w:rsidP="006A0740">
            <w:pPr>
              <w:spacing w:line="240" w:lineRule="atLeast"/>
              <w:jc w:val="center"/>
              <w:rPr>
                <w:rFonts w:ascii="Times New Roman" w:eastAsia="Calibri" w:hAnsi="Times New Roman" w:cs="Times New Roman"/>
                <w:sz w:val="20"/>
                <w:szCs w:val="20"/>
              </w:rPr>
            </w:pPr>
          </w:p>
        </w:tc>
        <w:tc>
          <w:tcPr>
            <w:tcW w:w="644" w:type="dxa"/>
          </w:tcPr>
          <w:p w14:paraId="0152B602" w14:textId="63BE317F"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5040" w:type="dxa"/>
          </w:tcPr>
          <w:p w14:paraId="789B86DE" w14:textId="6322290C"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1.</w:t>
            </w:r>
            <w:r w:rsidR="00285242" w:rsidRPr="00AC21F0">
              <w:rPr>
                <w:rFonts w:ascii="Times New Roman" w:eastAsia="Times New Roman" w:hAnsi="Times New Roman" w:cs="Times New Roman"/>
                <w:sz w:val="20"/>
                <w:szCs w:val="20"/>
              </w:rPr>
              <w:t>To enable control over supplies of goods and services in order to achieve the objective of combating VAT fraud</w:t>
            </w:r>
            <w:r w:rsidRPr="00AC21F0">
              <w:rPr>
                <w:rFonts w:ascii="Times New Roman" w:eastAsia="Times New Roman" w:hAnsi="Times New Roman" w:cs="Times New Roman"/>
                <w:sz w:val="20"/>
                <w:szCs w:val="20"/>
              </w:rPr>
              <w:t>on cross-border payments, the location of the payer shall be deemed to be the Member State corresponding to:</w:t>
            </w:r>
          </w:p>
          <w:p w14:paraId="0191EC69" w14:textId="77777777"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lastRenderedPageBreak/>
              <w:t>a)</w:t>
            </w:r>
            <w:r w:rsidRPr="00AC21F0">
              <w:rPr>
                <w:rFonts w:ascii="Times New Roman" w:eastAsia="Times New Roman" w:hAnsi="Times New Roman" w:cs="Times New Roman"/>
                <w:sz w:val="20"/>
                <w:szCs w:val="20"/>
              </w:rPr>
              <w:tab/>
              <w:t>the IBAN of the payer’s account or any other unique identifier unambiguously identifies the identity of the payer and their location, or, in the absence of such identifiers;</w:t>
            </w:r>
          </w:p>
          <w:p w14:paraId="56273210" w14:textId="77777777"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b)</w:t>
            </w:r>
            <w:r w:rsidRPr="00AC21F0">
              <w:rPr>
                <w:rFonts w:ascii="Times New Roman" w:eastAsia="Times New Roman" w:hAnsi="Times New Roman" w:cs="Times New Roman"/>
                <w:sz w:val="20"/>
                <w:szCs w:val="20"/>
              </w:rPr>
              <w:tab/>
              <w:t>The BIC or any other business identifier code of the payment service provider acting on behalf of the payer unambiguously identifies the provider and its location.</w:t>
            </w:r>
          </w:p>
          <w:p w14:paraId="38B87950"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1812CDC7" w14:textId="77777777"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2.</w:t>
            </w:r>
            <w:r w:rsidRPr="00AC21F0">
              <w:rPr>
                <w:rFonts w:ascii="Times New Roman" w:eastAsia="Times New Roman" w:hAnsi="Times New Roman" w:cs="Times New Roman"/>
                <w:sz w:val="20"/>
                <w:szCs w:val="20"/>
              </w:rPr>
              <w:tab/>
              <w:t>For the same purposes as set out in paragraph 1, the location of the payee shall be considered to be located in the relevant Member State, third territory or third country if one of the following conditions is met:</w:t>
            </w:r>
          </w:p>
          <w:p w14:paraId="246D0B5C" w14:textId="77777777"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a)</w:t>
            </w:r>
            <w:r w:rsidRPr="00AC21F0">
              <w:rPr>
                <w:rFonts w:ascii="Times New Roman" w:eastAsia="Times New Roman" w:hAnsi="Times New Roman" w:cs="Times New Roman"/>
                <w:sz w:val="20"/>
                <w:szCs w:val="20"/>
              </w:rPr>
              <w:tab/>
              <w:t xml:space="preserve"> the IBAN of the payee’s account or any other unique identifier unambiguously identifies the identity of the payee and their location, or, in the absence of such identifiers;</w:t>
            </w:r>
          </w:p>
          <w:p w14:paraId="5D1D16DC" w14:textId="57118123" w:rsidR="00CC70E1" w:rsidRPr="00AC21F0" w:rsidRDefault="00201DBB" w:rsidP="006A0740">
            <w:pPr>
              <w:spacing w:line="240" w:lineRule="atLeast"/>
              <w:jc w:val="both"/>
              <w:rPr>
                <w:rFonts w:ascii="Times New Roman" w:eastAsia="Calibri" w:hAnsi="Times New Roman" w:cs="Times New Roman"/>
                <w:sz w:val="20"/>
                <w:szCs w:val="20"/>
              </w:rPr>
            </w:pPr>
            <w:r w:rsidRPr="00AC21F0">
              <w:rPr>
                <w:rFonts w:ascii="Times New Roman" w:eastAsia="Times New Roman" w:hAnsi="Times New Roman" w:cs="Times New Roman"/>
                <w:sz w:val="20"/>
                <w:szCs w:val="20"/>
              </w:rPr>
              <w:t>b)</w:t>
            </w:r>
            <w:r w:rsidRPr="00AC21F0">
              <w:rPr>
                <w:rFonts w:ascii="Times New Roman" w:eastAsia="Times New Roman" w:hAnsi="Times New Roman" w:cs="Times New Roman"/>
                <w:sz w:val="20"/>
                <w:szCs w:val="20"/>
              </w:rPr>
              <w:tab/>
              <w:t>the BIC or any other business identifier code of the payment service provider acting on behalf of the payee unambiguously identifies the provider and its location.</w:t>
            </w:r>
          </w:p>
        </w:tc>
        <w:tc>
          <w:tcPr>
            <w:tcW w:w="720" w:type="dxa"/>
          </w:tcPr>
          <w:p w14:paraId="4002CF3D" w14:textId="377307C9" w:rsidR="003C045B" w:rsidRPr="00AC21F0" w:rsidRDefault="003C045B" w:rsidP="006A0740">
            <w:pPr>
              <w:spacing w:line="240" w:lineRule="atLeast"/>
              <w:jc w:val="center"/>
              <w:rPr>
                <w:rFonts w:ascii="Times New Roman" w:eastAsia="Calibri" w:hAnsi="Times New Roman" w:cs="Times New Roman"/>
                <w:sz w:val="20"/>
                <w:szCs w:val="20"/>
                <w:lang w:val="en-US"/>
              </w:rPr>
            </w:pPr>
            <w:r w:rsidRPr="00AC21F0">
              <w:rPr>
                <w:rFonts w:ascii="Times New Roman" w:eastAsia="Calibri" w:hAnsi="Times New Roman" w:cs="Times New Roman"/>
                <w:sz w:val="20"/>
                <w:szCs w:val="20"/>
                <w:lang w:val="en-US"/>
              </w:rPr>
              <w:lastRenderedPageBreak/>
              <w:t>F</w:t>
            </w:r>
          </w:p>
        </w:tc>
        <w:tc>
          <w:tcPr>
            <w:tcW w:w="3510" w:type="dxa"/>
          </w:tcPr>
          <w:p w14:paraId="37DF1BDF" w14:textId="77777777" w:rsidR="0009621F" w:rsidRPr="00AC21F0" w:rsidRDefault="0009621F" w:rsidP="006A0740">
            <w:pPr>
              <w:spacing w:line="240" w:lineRule="atLeast"/>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Compliant.</w:t>
            </w:r>
          </w:p>
          <w:p w14:paraId="5F15775D" w14:textId="77777777" w:rsidR="0009621F" w:rsidRPr="00AC21F0" w:rsidRDefault="0009621F" w:rsidP="006A0740">
            <w:pPr>
              <w:spacing w:line="240" w:lineRule="atLeast"/>
              <w:rPr>
                <w:rFonts w:ascii="Times New Roman" w:eastAsia="Times New Roman" w:hAnsi="Times New Roman" w:cs="Times New Roman"/>
                <w:sz w:val="20"/>
                <w:szCs w:val="20"/>
              </w:rPr>
            </w:pPr>
          </w:p>
          <w:p w14:paraId="79478D12" w14:textId="77777777" w:rsidR="0009621F" w:rsidRPr="00AC21F0" w:rsidRDefault="003C045B" w:rsidP="006A0740">
            <w:pPr>
              <w:spacing w:line="240" w:lineRule="atLeast"/>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 xml:space="preserve">Article 8 fully aligns with Articles 243c and the EU principles for determining </w:t>
            </w:r>
            <w:r w:rsidRPr="00AC21F0">
              <w:rPr>
                <w:rFonts w:ascii="Times New Roman" w:eastAsia="Times New Roman" w:hAnsi="Times New Roman" w:cs="Times New Roman"/>
                <w:sz w:val="20"/>
                <w:szCs w:val="20"/>
              </w:rPr>
              <w:lastRenderedPageBreak/>
              <w:t xml:space="preserve">the location of the parties to a transaction, as the location of the payer and the payee is primarily identified through the IBAN or any unique account identifier and, in their absence, through the BIC or identifier of the payment service provider. </w:t>
            </w:r>
          </w:p>
          <w:p w14:paraId="119A62D4" w14:textId="77777777" w:rsidR="0009621F" w:rsidRPr="00AC21F0" w:rsidRDefault="0009621F" w:rsidP="006A0740">
            <w:pPr>
              <w:spacing w:line="240" w:lineRule="atLeast"/>
              <w:rPr>
                <w:rFonts w:ascii="Times New Roman" w:eastAsia="Times New Roman" w:hAnsi="Times New Roman" w:cs="Times New Roman"/>
                <w:sz w:val="20"/>
                <w:szCs w:val="20"/>
              </w:rPr>
            </w:pPr>
          </w:p>
          <w:p w14:paraId="46D529E2" w14:textId="301786C8" w:rsidR="003C045B" w:rsidRPr="00AC21F0" w:rsidRDefault="003C045B" w:rsidP="006A0740">
            <w:pPr>
              <w:spacing w:line="240" w:lineRule="atLeast"/>
              <w:rPr>
                <w:rFonts w:ascii="Times New Roman" w:eastAsia="Calibri" w:hAnsi="Times New Roman" w:cs="Times New Roman"/>
                <w:sz w:val="20"/>
                <w:szCs w:val="20"/>
                <w:lang w:val="en-US"/>
              </w:rPr>
            </w:pPr>
            <w:r w:rsidRPr="00AC21F0">
              <w:rPr>
                <w:rFonts w:ascii="Times New Roman" w:eastAsia="Times New Roman" w:hAnsi="Times New Roman" w:cs="Times New Roman"/>
                <w:sz w:val="20"/>
                <w:szCs w:val="20"/>
              </w:rPr>
              <w:t>This mechanism ensures clarity and accuracy of information, fulfilling the requirements of the CESOP and PSD2 directives for reporting cross-border payments.</w:t>
            </w:r>
          </w:p>
        </w:tc>
      </w:tr>
      <w:tr w:rsidR="003C045B" w:rsidRPr="00AC21F0" w14:paraId="1DCD5C89" w14:textId="77777777" w:rsidTr="007022FA">
        <w:trPr>
          <w:trHeight w:val="674"/>
        </w:trPr>
        <w:tc>
          <w:tcPr>
            <w:tcW w:w="540" w:type="dxa"/>
            <w:shd w:val="clear" w:color="auto" w:fill="D0CECE" w:themeFill="background2" w:themeFillShade="E6"/>
          </w:tcPr>
          <w:p w14:paraId="7B43BA42" w14:textId="7778594C" w:rsidR="003C045B" w:rsidRPr="00AC21F0" w:rsidRDefault="003C045B" w:rsidP="006A0740">
            <w:pPr>
              <w:spacing w:line="240" w:lineRule="atLeast"/>
              <w:jc w:val="center"/>
              <w:rPr>
                <w:rFonts w:ascii="Times New Roman" w:eastAsia="Calibri" w:hAnsi="Times New Roman" w:cs="Times New Roman"/>
                <w:i/>
                <w:iCs/>
                <w:sz w:val="20"/>
                <w:szCs w:val="20"/>
                <w:lang w:val="en-US"/>
              </w:rPr>
            </w:pPr>
          </w:p>
        </w:tc>
        <w:tc>
          <w:tcPr>
            <w:tcW w:w="5400" w:type="dxa"/>
            <w:shd w:val="clear" w:color="auto" w:fill="D0CECE" w:themeFill="background2" w:themeFillShade="E6"/>
          </w:tcPr>
          <w:p w14:paraId="1B89D23B" w14:textId="55940AAF" w:rsidR="003C045B" w:rsidRPr="00AC21F0" w:rsidRDefault="003C045B" w:rsidP="006A0740">
            <w:pPr>
              <w:spacing w:line="240" w:lineRule="atLeast"/>
              <w:jc w:val="center"/>
              <w:rPr>
                <w:rFonts w:ascii="Times New Roman" w:eastAsia="Times New Roman" w:hAnsi="Times New Roman" w:cs="Times New Roman"/>
                <w:i/>
                <w:iCs/>
                <w:color w:val="333333"/>
                <w:sz w:val="20"/>
                <w:szCs w:val="20"/>
              </w:rPr>
            </w:pPr>
            <w:r w:rsidRPr="00AC21F0">
              <w:rPr>
                <w:rFonts w:ascii="Times New Roman" w:eastAsia="Times New Roman" w:hAnsi="Times New Roman" w:cs="Times New Roman"/>
                <w:i/>
                <w:iCs/>
                <w:color w:val="333333"/>
                <w:sz w:val="20"/>
                <w:szCs w:val="20"/>
              </w:rPr>
              <w:t>Article 243</w:t>
            </w:r>
            <w:r w:rsidR="00E15A6A" w:rsidRPr="00AC21F0">
              <w:rPr>
                <w:rFonts w:ascii="Times New Roman" w:eastAsia="Times New Roman" w:hAnsi="Times New Roman" w:cs="Times New Roman"/>
                <w:i/>
                <w:iCs/>
                <w:color w:val="333333"/>
                <w:sz w:val="20"/>
                <w:szCs w:val="20"/>
              </w:rPr>
              <w:t>b</w:t>
            </w:r>
          </w:p>
          <w:p w14:paraId="178F6F8C" w14:textId="54771548" w:rsidR="003C045B" w:rsidRPr="00AC21F0" w:rsidRDefault="003C045B" w:rsidP="006A0740">
            <w:pPr>
              <w:spacing w:line="240" w:lineRule="atLeast"/>
              <w:jc w:val="center"/>
              <w:rPr>
                <w:rFonts w:ascii="Times New Roman" w:eastAsia="Calibri" w:hAnsi="Times New Roman" w:cs="Times New Roman"/>
                <w:i/>
                <w:iCs/>
                <w:sz w:val="20"/>
                <w:szCs w:val="20"/>
                <w:lang w:val="en-US"/>
              </w:rPr>
            </w:pPr>
          </w:p>
        </w:tc>
        <w:tc>
          <w:tcPr>
            <w:tcW w:w="450" w:type="dxa"/>
            <w:shd w:val="clear" w:color="auto" w:fill="D0CECE" w:themeFill="background2" w:themeFillShade="E6"/>
          </w:tcPr>
          <w:p w14:paraId="3947385F" w14:textId="3B8E12E1" w:rsidR="003C045B" w:rsidRPr="00AC21F0" w:rsidRDefault="003C045B" w:rsidP="006A0740">
            <w:pPr>
              <w:spacing w:line="240" w:lineRule="atLeast"/>
              <w:jc w:val="center"/>
              <w:rPr>
                <w:rFonts w:ascii="Times New Roman" w:eastAsia="Calibri" w:hAnsi="Times New Roman" w:cs="Times New Roman"/>
                <w:i/>
                <w:iCs/>
                <w:sz w:val="20"/>
                <w:szCs w:val="20"/>
              </w:rPr>
            </w:pPr>
          </w:p>
        </w:tc>
        <w:tc>
          <w:tcPr>
            <w:tcW w:w="644" w:type="dxa"/>
            <w:shd w:val="clear" w:color="auto" w:fill="D0CECE" w:themeFill="background2" w:themeFillShade="E6"/>
          </w:tcPr>
          <w:p w14:paraId="2AEEFB19" w14:textId="78CBBFE8" w:rsidR="003C045B" w:rsidRPr="00AC21F0" w:rsidRDefault="003C045B" w:rsidP="006A0740">
            <w:pPr>
              <w:spacing w:line="240" w:lineRule="atLeast"/>
              <w:jc w:val="center"/>
              <w:rPr>
                <w:rFonts w:ascii="Times New Roman" w:eastAsia="Calibri" w:hAnsi="Times New Roman" w:cs="Times New Roman"/>
                <w:i/>
                <w:iCs/>
                <w:sz w:val="20"/>
                <w:szCs w:val="20"/>
                <w:lang w:val="en-US"/>
              </w:rPr>
            </w:pPr>
          </w:p>
        </w:tc>
        <w:tc>
          <w:tcPr>
            <w:tcW w:w="5040" w:type="dxa"/>
            <w:shd w:val="clear" w:color="auto" w:fill="D0CECE" w:themeFill="background2" w:themeFillShade="E6"/>
          </w:tcPr>
          <w:p w14:paraId="1EC87CC5" w14:textId="77777777" w:rsidR="00201DBB" w:rsidRPr="00AC21F0" w:rsidRDefault="00201DBB" w:rsidP="006A0740">
            <w:pPr>
              <w:spacing w:line="240" w:lineRule="atLeast"/>
              <w:jc w:val="center"/>
              <w:rPr>
                <w:rFonts w:ascii="Times New Roman" w:eastAsia="Times New Roman" w:hAnsi="Times New Roman" w:cs="Times New Roman"/>
                <w:iCs/>
                <w:color w:val="333333"/>
                <w:sz w:val="20"/>
                <w:szCs w:val="20"/>
              </w:rPr>
            </w:pPr>
            <w:r w:rsidRPr="00AC21F0">
              <w:rPr>
                <w:rFonts w:ascii="Times New Roman" w:eastAsia="Times New Roman" w:hAnsi="Times New Roman" w:cs="Times New Roman"/>
                <w:iCs/>
                <w:color w:val="333333"/>
                <w:sz w:val="20"/>
                <w:szCs w:val="20"/>
              </w:rPr>
              <w:t>Article 9</w:t>
            </w:r>
          </w:p>
          <w:p w14:paraId="0C675155" w14:textId="77777777" w:rsidR="00201DBB" w:rsidRPr="00AC21F0" w:rsidRDefault="00201DBB" w:rsidP="006A0740">
            <w:pPr>
              <w:spacing w:line="240" w:lineRule="atLeast"/>
              <w:jc w:val="center"/>
              <w:rPr>
                <w:rFonts w:ascii="Times New Roman" w:eastAsia="Times New Roman" w:hAnsi="Times New Roman" w:cs="Times New Roman"/>
                <w:iCs/>
                <w:color w:val="333333"/>
                <w:sz w:val="20"/>
                <w:szCs w:val="20"/>
              </w:rPr>
            </w:pPr>
          </w:p>
          <w:p w14:paraId="368A282A" w14:textId="74D44514" w:rsidR="003C045B" w:rsidRPr="00AC21F0" w:rsidRDefault="00201DBB" w:rsidP="006A0740">
            <w:pPr>
              <w:spacing w:line="240" w:lineRule="atLeast"/>
              <w:jc w:val="center"/>
              <w:rPr>
                <w:rFonts w:ascii="Times New Roman" w:eastAsia="Times New Roman" w:hAnsi="Times New Roman" w:cs="Times New Roman"/>
                <w:i/>
                <w:iCs/>
                <w:sz w:val="20"/>
                <w:szCs w:val="20"/>
              </w:rPr>
            </w:pPr>
            <w:r w:rsidRPr="00AC21F0">
              <w:rPr>
                <w:rFonts w:ascii="Times New Roman" w:eastAsia="Times New Roman" w:hAnsi="Times New Roman" w:cs="Times New Roman"/>
                <w:iCs/>
                <w:color w:val="333333"/>
                <w:sz w:val="20"/>
                <w:szCs w:val="20"/>
              </w:rPr>
              <w:t>Reporting obligations of payment service providers</w:t>
            </w:r>
          </w:p>
        </w:tc>
        <w:tc>
          <w:tcPr>
            <w:tcW w:w="720" w:type="dxa"/>
            <w:shd w:val="clear" w:color="auto" w:fill="D0CECE" w:themeFill="background2" w:themeFillShade="E6"/>
          </w:tcPr>
          <w:p w14:paraId="6D33AE71" w14:textId="29231BD5" w:rsidR="003C045B" w:rsidRPr="00AC21F0" w:rsidRDefault="003C045B" w:rsidP="006A0740">
            <w:pPr>
              <w:spacing w:line="240" w:lineRule="atLeast"/>
              <w:jc w:val="center"/>
              <w:rPr>
                <w:rFonts w:ascii="Times New Roman" w:eastAsia="Calibri" w:hAnsi="Times New Roman" w:cs="Times New Roman"/>
                <w:sz w:val="20"/>
                <w:szCs w:val="20"/>
                <w:highlight w:val="cyan"/>
                <w:lang w:val="en-US"/>
              </w:rPr>
            </w:pPr>
          </w:p>
        </w:tc>
        <w:tc>
          <w:tcPr>
            <w:tcW w:w="3510" w:type="dxa"/>
            <w:shd w:val="clear" w:color="auto" w:fill="D0CECE" w:themeFill="background2" w:themeFillShade="E6"/>
          </w:tcPr>
          <w:p w14:paraId="72B8276C" w14:textId="77777777" w:rsidR="003C045B" w:rsidRPr="00AC21F0" w:rsidRDefault="003C045B" w:rsidP="006A0740">
            <w:pPr>
              <w:spacing w:line="240" w:lineRule="atLeast"/>
              <w:rPr>
                <w:rFonts w:ascii="Times New Roman" w:eastAsia="Calibri" w:hAnsi="Times New Roman" w:cs="Times New Roman"/>
                <w:sz w:val="20"/>
                <w:szCs w:val="20"/>
                <w:lang w:val="en-US"/>
              </w:rPr>
            </w:pPr>
          </w:p>
        </w:tc>
      </w:tr>
      <w:tr w:rsidR="003C045B" w:rsidRPr="00AC21F0" w14:paraId="66A7F41F" w14:textId="77777777" w:rsidTr="004738EE">
        <w:tc>
          <w:tcPr>
            <w:tcW w:w="540" w:type="dxa"/>
          </w:tcPr>
          <w:p w14:paraId="6A63C8D0" w14:textId="0731A2C6"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tcPr>
          <w:p w14:paraId="0ED01144" w14:textId="77777777" w:rsidR="003C045B" w:rsidRPr="00AC21F0" w:rsidRDefault="003C045B" w:rsidP="006A0740">
            <w:pPr>
              <w:pStyle w:val="oj-normal"/>
              <w:shd w:val="clear" w:color="auto" w:fill="FFFFFF"/>
              <w:spacing w:before="120" w:beforeAutospacing="0" w:after="0" w:afterAutospacing="0" w:line="240" w:lineRule="atLeast"/>
              <w:jc w:val="both"/>
              <w:rPr>
                <w:color w:val="333333"/>
                <w:sz w:val="20"/>
                <w:szCs w:val="20"/>
              </w:rPr>
            </w:pPr>
            <w:r w:rsidRPr="00AC21F0">
              <w:rPr>
                <w:color w:val="333333"/>
                <w:sz w:val="20"/>
                <w:szCs w:val="20"/>
              </w:rPr>
              <w:t>1.   Member States shall require payment service providers to keep sufficiently detailed records of payees and of payments in relation to the payment services they provide for each calendar quarter to enable the competent authorities of the Member States to carry out controls of the supplies of goods and services which, in accordance with the provisions of Title V, are deemed to take place in a Member State, in order to achieve the objective of combating VAT fraud.</w:t>
            </w:r>
          </w:p>
          <w:p w14:paraId="5F330A35" w14:textId="77777777" w:rsidR="003C045B" w:rsidRPr="00AC21F0" w:rsidRDefault="003C045B" w:rsidP="006A0740">
            <w:pPr>
              <w:pStyle w:val="oj-normal"/>
              <w:shd w:val="clear" w:color="auto" w:fill="FFFFFF"/>
              <w:spacing w:before="120" w:beforeAutospacing="0" w:after="0" w:afterAutospacing="0" w:line="240" w:lineRule="atLeast"/>
              <w:jc w:val="both"/>
              <w:rPr>
                <w:color w:val="333333"/>
                <w:sz w:val="20"/>
                <w:szCs w:val="20"/>
              </w:rPr>
            </w:pPr>
            <w:r w:rsidRPr="00AC21F0">
              <w:rPr>
                <w:color w:val="333333"/>
                <w:sz w:val="20"/>
                <w:szCs w:val="20"/>
              </w:rPr>
              <w:t xml:space="preserve">The requirement referred to in the first subparagraph shall apply only to payment services provided as regards cross-border </w:t>
            </w:r>
            <w:r w:rsidRPr="00AC21F0">
              <w:rPr>
                <w:color w:val="333333"/>
                <w:sz w:val="20"/>
                <w:szCs w:val="20"/>
              </w:rPr>
              <w:lastRenderedPageBreak/>
              <w:t>payments. A payment shall be considered a cross-border payment when the payer is located in a Member State and the payee is located in another Member State, in a third territory or in a third country.</w:t>
            </w:r>
          </w:p>
          <w:p w14:paraId="441B8F69" w14:textId="77777777" w:rsidR="003C045B" w:rsidRPr="00AC21F0" w:rsidRDefault="003C045B" w:rsidP="006A0740">
            <w:pPr>
              <w:pStyle w:val="oj-normal"/>
              <w:shd w:val="clear" w:color="auto" w:fill="FFFFFF"/>
              <w:spacing w:before="120" w:beforeAutospacing="0" w:after="0" w:afterAutospacing="0" w:line="240" w:lineRule="atLeast"/>
              <w:jc w:val="both"/>
              <w:rPr>
                <w:color w:val="333333"/>
                <w:sz w:val="20"/>
                <w:szCs w:val="20"/>
              </w:rPr>
            </w:pPr>
            <w:r w:rsidRPr="00AC21F0">
              <w:rPr>
                <w:color w:val="333333"/>
                <w:sz w:val="20"/>
                <w:szCs w:val="20"/>
              </w:rPr>
              <w:t>2.   The requirement to which payment service providers are subject under paragraph 1 shall apply where, in the course of a calendar quarter, a payment service provider provides payment services corresponding to more than 25 cross-border payments to the same payee.</w:t>
            </w:r>
          </w:p>
          <w:p w14:paraId="70598828" w14:textId="77777777" w:rsidR="003C045B" w:rsidRPr="00AC21F0" w:rsidRDefault="003C045B" w:rsidP="006A0740">
            <w:pPr>
              <w:pStyle w:val="oj-normal"/>
              <w:shd w:val="clear" w:color="auto" w:fill="FFFFFF"/>
              <w:spacing w:before="120" w:beforeAutospacing="0" w:after="0" w:afterAutospacing="0" w:line="240" w:lineRule="atLeast"/>
              <w:jc w:val="both"/>
              <w:rPr>
                <w:color w:val="333333"/>
                <w:sz w:val="20"/>
                <w:szCs w:val="20"/>
              </w:rPr>
            </w:pPr>
            <w:r w:rsidRPr="00AC21F0">
              <w:rPr>
                <w:color w:val="333333"/>
                <w:sz w:val="20"/>
                <w:szCs w:val="20"/>
              </w:rPr>
              <w:t>The number of cross-border payments referred to in the first subparagraph of this paragraph shall be calculated by reference to the payment services provided by the payment service provider per Member State and per identifier as referred to in Article 243c(2). Where the payment service provider has information that the payee has several identifiers the calculation shall be made per payee.</w:t>
            </w:r>
          </w:p>
          <w:p w14:paraId="35C95EA4" w14:textId="77777777" w:rsidR="003C045B" w:rsidRPr="00AC21F0" w:rsidRDefault="003C045B" w:rsidP="006A0740">
            <w:pPr>
              <w:pStyle w:val="oj-normal"/>
              <w:shd w:val="clear" w:color="auto" w:fill="FFFFFF"/>
              <w:spacing w:before="120" w:beforeAutospacing="0" w:after="0" w:afterAutospacing="0" w:line="240" w:lineRule="atLeast"/>
              <w:jc w:val="both"/>
              <w:rPr>
                <w:color w:val="333333"/>
                <w:sz w:val="20"/>
                <w:szCs w:val="20"/>
              </w:rPr>
            </w:pPr>
            <w:r w:rsidRPr="00AC21F0">
              <w:rPr>
                <w:color w:val="333333"/>
                <w:sz w:val="20"/>
                <w:szCs w:val="20"/>
              </w:rPr>
              <w:t>3.   The requirement laid down in paragraph 1 shall not apply to payment services provided by the payment service providers of the payer as regards any payment where at least one of the payment service providers of the payee is located in a Member State, as shown by that payment service provider’s BIC or any other business identifier code that unambiguously identifies the payment service provider and its location. The payment service providers of the payer shall nevertheless include those payment services in the calculation referred to in paragraph 2.</w:t>
            </w:r>
          </w:p>
          <w:p w14:paraId="09409A04" w14:textId="77777777" w:rsidR="003C045B" w:rsidRPr="00AC21F0" w:rsidRDefault="003C045B" w:rsidP="006A0740">
            <w:pPr>
              <w:pStyle w:val="oj-normal"/>
              <w:shd w:val="clear" w:color="auto" w:fill="FFFFFF"/>
              <w:spacing w:before="120" w:beforeAutospacing="0" w:after="0" w:afterAutospacing="0" w:line="240" w:lineRule="atLeast"/>
              <w:jc w:val="both"/>
              <w:rPr>
                <w:color w:val="333333"/>
                <w:sz w:val="20"/>
                <w:szCs w:val="20"/>
              </w:rPr>
            </w:pPr>
            <w:r w:rsidRPr="00AC21F0">
              <w:rPr>
                <w:color w:val="333333"/>
                <w:sz w:val="20"/>
                <w:szCs w:val="20"/>
              </w:rPr>
              <w:t>4.   Where the requirement for payment service providers laid down in paragraph 1 applies, the records shall:</w:t>
            </w:r>
          </w:p>
          <w:tbl>
            <w:tblPr>
              <w:tblW w:w="5000" w:type="pct"/>
              <w:tblLayout w:type="fixed"/>
              <w:tblCellMar>
                <w:left w:w="0" w:type="dxa"/>
                <w:right w:w="0" w:type="dxa"/>
              </w:tblCellMar>
              <w:tblLook w:val="04A0" w:firstRow="1" w:lastRow="0" w:firstColumn="1" w:lastColumn="0" w:noHBand="0" w:noVBand="1"/>
            </w:tblPr>
            <w:tblGrid>
              <w:gridCol w:w="156"/>
              <w:gridCol w:w="5028"/>
            </w:tblGrid>
            <w:tr w:rsidR="003C045B" w:rsidRPr="00AC21F0" w14:paraId="1F084689" w14:textId="77777777" w:rsidTr="001E71E0">
              <w:tc>
                <w:tcPr>
                  <w:tcW w:w="267" w:type="dxa"/>
                  <w:hideMark/>
                </w:tcPr>
                <w:p w14:paraId="0E61362A" w14:textId="77777777" w:rsidR="003C045B" w:rsidRPr="00AC21F0" w:rsidRDefault="003C045B" w:rsidP="006A0740">
                  <w:pPr>
                    <w:pStyle w:val="oj-normal"/>
                    <w:spacing w:before="120" w:beforeAutospacing="0" w:after="0" w:afterAutospacing="0" w:line="240" w:lineRule="atLeast"/>
                    <w:jc w:val="both"/>
                    <w:rPr>
                      <w:sz w:val="20"/>
                      <w:szCs w:val="20"/>
                    </w:rPr>
                  </w:pPr>
                  <w:r w:rsidRPr="00AC21F0">
                    <w:rPr>
                      <w:sz w:val="20"/>
                      <w:szCs w:val="20"/>
                    </w:rPr>
                    <w:t>(a)</w:t>
                  </w:r>
                </w:p>
              </w:tc>
              <w:tc>
                <w:tcPr>
                  <w:tcW w:w="9093" w:type="dxa"/>
                  <w:hideMark/>
                </w:tcPr>
                <w:p w14:paraId="4267B144" w14:textId="77777777" w:rsidR="003C045B" w:rsidRPr="00AC21F0" w:rsidRDefault="003C045B" w:rsidP="006A0740">
                  <w:pPr>
                    <w:pStyle w:val="oj-normal"/>
                    <w:spacing w:before="120" w:beforeAutospacing="0" w:after="0" w:afterAutospacing="0" w:line="240" w:lineRule="atLeast"/>
                    <w:jc w:val="both"/>
                    <w:rPr>
                      <w:sz w:val="20"/>
                      <w:szCs w:val="20"/>
                    </w:rPr>
                  </w:pPr>
                  <w:r w:rsidRPr="00AC21F0">
                    <w:rPr>
                      <w:sz w:val="20"/>
                      <w:szCs w:val="20"/>
                    </w:rPr>
                    <w:t>be kept by the payment service provider in electronic format for a period of three calendar years from the end of the calendar year of the date of the payment;</w:t>
                  </w:r>
                </w:p>
              </w:tc>
            </w:tr>
          </w:tbl>
          <w:p w14:paraId="1B86BE87" w14:textId="77777777" w:rsidR="003C045B" w:rsidRPr="00AC21F0" w:rsidRDefault="003C045B" w:rsidP="006A0740">
            <w:pPr>
              <w:shd w:val="clear" w:color="auto" w:fill="FFFFFF"/>
              <w:spacing w:line="240" w:lineRule="atLeast"/>
              <w:rPr>
                <w:rFonts w:ascii="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64"/>
              <w:gridCol w:w="5020"/>
            </w:tblGrid>
            <w:tr w:rsidR="003C045B" w:rsidRPr="00AC21F0" w14:paraId="2F9DBB6B" w14:textId="77777777" w:rsidTr="001E71E0">
              <w:tc>
                <w:tcPr>
                  <w:tcW w:w="280" w:type="dxa"/>
                  <w:hideMark/>
                </w:tcPr>
                <w:p w14:paraId="1B4802D5" w14:textId="77777777" w:rsidR="003C045B" w:rsidRPr="00AC21F0" w:rsidRDefault="003C045B" w:rsidP="006A0740">
                  <w:pPr>
                    <w:pStyle w:val="oj-normal"/>
                    <w:spacing w:before="120" w:beforeAutospacing="0" w:after="0" w:afterAutospacing="0" w:line="240" w:lineRule="atLeast"/>
                    <w:jc w:val="both"/>
                    <w:rPr>
                      <w:sz w:val="20"/>
                      <w:szCs w:val="20"/>
                    </w:rPr>
                  </w:pPr>
                  <w:r w:rsidRPr="00AC21F0">
                    <w:rPr>
                      <w:sz w:val="20"/>
                      <w:szCs w:val="20"/>
                    </w:rPr>
                    <w:lastRenderedPageBreak/>
                    <w:t>(b)</w:t>
                  </w:r>
                </w:p>
              </w:tc>
              <w:tc>
                <w:tcPr>
                  <w:tcW w:w="9080" w:type="dxa"/>
                  <w:hideMark/>
                </w:tcPr>
                <w:p w14:paraId="34A16B4A" w14:textId="77777777" w:rsidR="003C045B" w:rsidRPr="00AC21F0" w:rsidRDefault="003C045B" w:rsidP="006A0740">
                  <w:pPr>
                    <w:pStyle w:val="oj-normal"/>
                    <w:spacing w:before="120" w:beforeAutospacing="0" w:after="0" w:afterAutospacing="0" w:line="240" w:lineRule="atLeast"/>
                    <w:jc w:val="both"/>
                    <w:rPr>
                      <w:sz w:val="20"/>
                      <w:szCs w:val="20"/>
                    </w:rPr>
                  </w:pPr>
                  <w:r w:rsidRPr="00AC21F0">
                    <w:rPr>
                      <w:sz w:val="20"/>
                      <w:szCs w:val="20"/>
                    </w:rPr>
                    <w:t>be made available in accordance with Article 24b of Regulation (EU) No 904/2010 to the home Member State of the payment service provider, or to the host Member States when the payment service provider provides payment services in Member States other than the home Member State.</w:t>
                  </w:r>
                </w:p>
              </w:tc>
            </w:tr>
          </w:tbl>
          <w:p w14:paraId="111BB3A0" w14:textId="1CA95575" w:rsidR="003C045B" w:rsidRPr="00AC21F0" w:rsidRDefault="003C045B" w:rsidP="006A0740">
            <w:pPr>
              <w:spacing w:line="240" w:lineRule="atLeast"/>
              <w:jc w:val="both"/>
              <w:rPr>
                <w:rFonts w:ascii="Times New Roman" w:eastAsia="Calibri" w:hAnsi="Times New Roman" w:cs="Times New Roman"/>
                <w:iCs/>
                <w:sz w:val="20"/>
                <w:szCs w:val="20"/>
                <w:lang w:val="en-US"/>
              </w:rPr>
            </w:pPr>
            <w:r w:rsidRPr="00AC21F0">
              <w:rPr>
                <w:rFonts w:ascii="Times New Roman" w:eastAsia="Calibri" w:hAnsi="Times New Roman" w:cs="Times New Roman"/>
                <w:iCs/>
                <w:sz w:val="20"/>
                <w:szCs w:val="20"/>
                <w:lang w:val="en-US"/>
              </w:rPr>
              <w:t xml:space="preserve"> </w:t>
            </w:r>
          </w:p>
        </w:tc>
        <w:tc>
          <w:tcPr>
            <w:tcW w:w="450" w:type="dxa"/>
          </w:tcPr>
          <w:p w14:paraId="4EA9222B" w14:textId="77777777" w:rsidR="003C045B" w:rsidRPr="00AC21F0" w:rsidRDefault="003C045B" w:rsidP="006A0740">
            <w:pPr>
              <w:spacing w:line="240" w:lineRule="atLeast"/>
              <w:jc w:val="center"/>
              <w:rPr>
                <w:rFonts w:ascii="Times New Roman" w:eastAsia="Calibri" w:hAnsi="Times New Roman" w:cs="Times New Roman"/>
                <w:sz w:val="20"/>
                <w:szCs w:val="20"/>
              </w:rPr>
            </w:pPr>
          </w:p>
        </w:tc>
        <w:tc>
          <w:tcPr>
            <w:tcW w:w="644" w:type="dxa"/>
          </w:tcPr>
          <w:p w14:paraId="574212AB" w14:textId="7C4A6F9F"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5040" w:type="dxa"/>
          </w:tcPr>
          <w:p w14:paraId="27BFEBDA" w14:textId="77777777"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1.</w:t>
            </w:r>
            <w:r w:rsidRPr="00AC21F0">
              <w:rPr>
                <w:rFonts w:ascii="Times New Roman" w:eastAsia="Times New Roman" w:hAnsi="Times New Roman" w:cs="Times New Roman"/>
                <w:sz w:val="20"/>
                <w:szCs w:val="20"/>
              </w:rPr>
              <w:tab/>
              <w:t>Payment service providers shall be obliged to:</w:t>
            </w:r>
          </w:p>
          <w:p w14:paraId="08C7C551"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72E973F6" w14:textId="483247CE"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 xml:space="preserve">a) establish and administer </w:t>
            </w:r>
            <w:r w:rsidR="00285242" w:rsidRPr="00AC21F0">
              <w:rPr>
                <w:rFonts w:ascii="Times New Roman" w:eastAsia="Times New Roman" w:hAnsi="Times New Roman" w:cs="Times New Roman"/>
                <w:sz w:val="20"/>
                <w:szCs w:val="20"/>
              </w:rPr>
              <w:t>electronic</w:t>
            </w:r>
            <w:r w:rsidR="00BF1CFB" w:rsidRPr="00AC21F0">
              <w:rPr>
                <w:rFonts w:ascii="Times New Roman" w:eastAsia="Times New Roman" w:hAnsi="Times New Roman" w:cs="Times New Roman"/>
                <w:sz w:val="20"/>
                <w:szCs w:val="20"/>
              </w:rPr>
              <w:t xml:space="preserve"> </w:t>
            </w:r>
            <w:r w:rsidRPr="00AC21F0">
              <w:rPr>
                <w:rFonts w:ascii="Times New Roman" w:eastAsia="Times New Roman" w:hAnsi="Times New Roman" w:cs="Times New Roman"/>
                <w:sz w:val="20"/>
                <w:szCs w:val="20"/>
              </w:rPr>
              <w:t xml:space="preserve">systems that ensure the reporting of data to the General Directorate of Taxation, while ensuring compliance with the technical structure and security standards, as determined in Council Regulation (EU) No. 904/2010, as amended by Regulation (EU) </w:t>
            </w:r>
            <w:r w:rsidR="00BF1CFB" w:rsidRPr="00AC21F0">
              <w:rPr>
                <w:rFonts w:ascii="Times New Roman" w:eastAsia="Times New Roman" w:hAnsi="Times New Roman" w:cs="Times New Roman"/>
                <w:sz w:val="20"/>
                <w:szCs w:val="20"/>
              </w:rPr>
              <w:t xml:space="preserve">no. </w:t>
            </w:r>
            <w:r w:rsidRPr="00AC21F0">
              <w:rPr>
                <w:rFonts w:ascii="Times New Roman" w:eastAsia="Times New Roman" w:hAnsi="Times New Roman" w:cs="Times New Roman"/>
                <w:sz w:val="20"/>
                <w:szCs w:val="20"/>
              </w:rPr>
              <w:t xml:space="preserve">2020/283, and this Law, in accordance with the electronic format provided in Annex II to Commission Implementing Regulation (EU) </w:t>
            </w:r>
            <w:r w:rsidR="00BF1CFB" w:rsidRPr="00AC21F0">
              <w:rPr>
                <w:rFonts w:ascii="Times New Roman" w:eastAsia="Times New Roman" w:hAnsi="Times New Roman" w:cs="Times New Roman"/>
                <w:sz w:val="20"/>
                <w:szCs w:val="20"/>
              </w:rPr>
              <w:t xml:space="preserve">no. </w:t>
            </w:r>
            <w:r w:rsidRPr="00AC21F0">
              <w:rPr>
                <w:rFonts w:ascii="Times New Roman" w:eastAsia="Times New Roman" w:hAnsi="Times New Roman" w:cs="Times New Roman"/>
                <w:sz w:val="20"/>
                <w:szCs w:val="20"/>
              </w:rPr>
              <w:t>2022/1504;</w:t>
            </w:r>
          </w:p>
          <w:p w14:paraId="0112A5C6" w14:textId="308D9564"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lastRenderedPageBreak/>
              <w:t xml:space="preserve">b) maintain quarterly records of cross-border payments related to the payment services they provide, in order to enable the tax administration to carry out controls on supplies of goods and services which, pursuant to the provisions of Chapter IV “Place of Supply of Taxable Transactions” of the Law </w:t>
            </w:r>
            <w:r w:rsidR="0086030F" w:rsidRPr="00AC21F0">
              <w:rPr>
                <w:rFonts w:ascii="Times New Roman" w:eastAsia="Times New Roman" w:hAnsi="Times New Roman" w:cs="Times New Roman"/>
                <w:sz w:val="20"/>
                <w:szCs w:val="20"/>
              </w:rPr>
              <w:t>no 92/2014 “O</w:t>
            </w:r>
            <w:r w:rsidRPr="00AC21F0">
              <w:rPr>
                <w:rFonts w:ascii="Times New Roman" w:eastAsia="Times New Roman" w:hAnsi="Times New Roman" w:cs="Times New Roman"/>
                <w:sz w:val="20"/>
                <w:szCs w:val="20"/>
              </w:rPr>
              <w:t>n Value Added Tax</w:t>
            </w:r>
            <w:r w:rsidR="0086030F" w:rsidRPr="00AC21F0">
              <w:rPr>
                <w:rFonts w:ascii="Times New Roman" w:eastAsia="Times New Roman" w:hAnsi="Times New Roman" w:cs="Times New Roman"/>
                <w:sz w:val="20"/>
                <w:szCs w:val="20"/>
              </w:rPr>
              <w:t>”</w:t>
            </w:r>
            <w:r w:rsidRPr="00AC21F0">
              <w:rPr>
                <w:rFonts w:ascii="Times New Roman" w:eastAsia="Times New Roman" w:hAnsi="Times New Roman" w:cs="Times New Roman"/>
                <w:sz w:val="20"/>
                <w:szCs w:val="20"/>
              </w:rPr>
              <w:t>, are deemed to take place in Rebublic of Albania for the purpose of combating VAT fraud;</w:t>
            </w:r>
          </w:p>
          <w:p w14:paraId="436E44B7" w14:textId="42A8E39C"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 xml:space="preserve">c) report quarterly data no later than </w:t>
            </w:r>
            <w:r w:rsidR="0086030F" w:rsidRPr="00AC21F0">
              <w:rPr>
                <w:rFonts w:ascii="Times New Roman" w:eastAsia="Times New Roman" w:hAnsi="Times New Roman" w:cs="Times New Roman"/>
                <w:sz w:val="20"/>
                <w:szCs w:val="20"/>
              </w:rPr>
              <w:t>the last day</w:t>
            </w:r>
            <w:r w:rsidRPr="00AC21F0">
              <w:rPr>
                <w:rFonts w:ascii="Times New Roman" w:eastAsia="Times New Roman" w:hAnsi="Times New Roman" w:cs="Times New Roman"/>
                <w:sz w:val="20"/>
                <w:szCs w:val="20"/>
              </w:rPr>
              <w:t xml:space="preserve"> of the month following the relevant calendar quarter;</w:t>
            </w:r>
          </w:p>
          <w:p w14:paraId="784F0BA0" w14:textId="77777777"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d) retain the information collected for a period of three (3) calendar years, calculated from the end of the calendar year corresponding to the date of the payment.</w:t>
            </w:r>
          </w:p>
          <w:p w14:paraId="0B7DFB0E"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7B14FA5C" w14:textId="6CA4E67F"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2.</w:t>
            </w:r>
            <w:r w:rsidRPr="00AC21F0">
              <w:rPr>
                <w:rFonts w:ascii="Times New Roman" w:eastAsia="Times New Roman" w:hAnsi="Times New Roman" w:cs="Times New Roman"/>
                <w:sz w:val="20"/>
                <w:szCs w:val="20"/>
              </w:rPr>
              <w:tab/>
              <w:t>The obligation laid down in p</w:t>
            </w:r>
            <w:r w:rsidR="009A386A" w:rsidRPr="00AC21F0">
              <w:rPr>
                <w:rFonts w:ascii="Times New Roman" w:eastAsia="Times New Roman" w:hAnsi="Times New Roman" w:cs="Times New Roman"/>
                <w:sz w:val="20"/>
                <w:szCs w:val="20"/>
              </w:rPr>
              <w:t>oint</w:t>
            </w:r>
            <w:r w:rsidRPr="00AC21F0">
              <w:rPr>
                <w:rFonts w:ascii="Times New Roman" w:eastAsia="Times New Roman" w:hAnsi="Times New Roman" w:cs="Times New Roman"/>
                <w:sz w:val="20"/>
                <w:szCs w:val="20"/>
              </w:rPr>
              <w:t xml:space="preserve"> 1</w:t>
            </w:r>
            <w:r w:rsidR="009A386A" w:rsidRPr="00AC21F0">
              <w:rPr>
                <w:rFonts w:ascii="Times New Roman" w:eastAsia="Times New Roman" w:hAnsi="Times New Roman" w:cs="Times New Roman"/>
                <w:sz w:val="20"/>
                <w:szCs w:val="20"/>
              </w:rPr>
              <w:t xml:space="preserve">, letter </w:t>
            </w:r>
            <w:r w:rsidRPr="00AC21F0">
              <w:rPr>
                <w:rFonts w:ascii="Times New Roman" w:eastAsia="Times New Roman" w:hAnsi="Times New Roman" w:cs="Times New Roman"/>
                <w:sz w:val="20"/>
                <w:szCs w:val="20"/>
              </w:rPr>
              <w:t>(c)</w:t>
            </w:r>
            <w:r w:rsidR="009A386A" w:rsidRPr="00AC21F0">
              <w:rPr>
                <w:rFonts w:ascii="Times New Roman" w:eastAsia="Times New Roman" w:hAnsi="Times New Roman" w:cs="Times New Roman"/>
                <w:sz w:val="20"/>
                <w:szCs w:val="20"/>
              </w:rPr>
              <w:t xml:space="preserve"> of this article</w:t>
            </w:r>
            <w:r w:rsidRPr="00AC21F0">
              <w:rPr>
                <w:rFonts w:ascii="Times New Roman" w:eastAsia="Times New Roman" w:hAnsi="Times New Roman" w:cs="Times New Roman"/>
                <w:sz w:val="20"/>
                <w:szCs w:val="20"/>
              </w:rPr>
              <w:t xml:space="preserve"> shall apply only in cases where, during a calendar quarter, a payment service provider executes more than twenty-five (25) cross-border payments to the same payee. This number shall be calculated for Rebublic of Albania and for each payee based on the identifiers referred to in </w:t>
            </w:r>
            <w:r w:rsidR="009A386A" w:rsidRPr="00AC21F0">
              <w:rPr>
                <w:rFonts w:ascii="Times New Roman" w:eastAsia="Times New Roman" w:hAnsi="Times New Roman" w:cs="Times New Roman"/>
                <w:sz w:val="20"/>
                <w:szCs w:val="20"/>
              </w:rPr>
              <w:t xml:space="preserve">point 2 of </w:t>
            </w:r>
            <w:r w:rsidRPr="00AC21F0">
              <w:rPr>
                <w:rFonts w:ascii="Times New Roman" w:eastAsia="Times New Roman" w:hAnsi="Times New Roman" w:cs="Times New Roman"/>
                <w:sz w:val="20"/>
                <w:szCs w:val="20"/>
              </w:rPr>
              <w:t xml:space="preserve">Article 8 of this Law . Where the payee holds more than one identifier, the calculation shall be made per payee. </w:t>
            </w:r>
          </w:p>
          <w:p w14:paraId="6ED5970D"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1CD31772" w14:textId="74CB46F8" w:rsidR="003C045B" w:rsidRPr="00AC21F0" w:rsidRDefault="00201DBB" w:rsidP="006A0740">
            <w:pPr>
              <w:spacing w:line="240" w:lineRule="atLeast"/>
              <w:jc w:val="both"/>
              <w:rPr>
                <w:rFonts w:ascii="Times New Roman" w:eastAsia="Calibri" w:hAnsi="Times New Roman" w:cs="Times New Roman"/>
                <w:sz w:val="20"/>
                <w:szCs w:val="20"/>
              </w:rPr>
            </w:pPr>
            <w:r w:rsidRPr="00AC21F0">
              <w:rPr>
                <w:rFonts w:ascii="Times New Roman" w:eastAsia="Times New Roman" w:hAnsi="Times New Roman" w:cs="Times New Roman"/>
                <w:sz w:val="20"/>
                <w:szCs w:val="20"/>
              </w:rPr>
              <w:t>3.</w:t>
            </w:r>
            <w:r w:rsidRPr="00AC21F0">
              <w:rPr>
                <w:rFonts w:ascii="Times New Roman" w:eastAsia="Times New Roman" w:hAnsi="Times New Roman" w:cs="Times New Roman"/>
                <w:sz w:val="20"/>
                <w:szCs w:val="20"/>
              </w:rPr>
              <w:tab/>
              <w:t>Where the payment service provider of the payer and that of the payee are both located within the territory of the European Union, the reporting obligation under p</w:t>
            </w:r>
            <w:r w:rsidR="009A386A" w:rsidRPr="00AC21F0">
              <w:rPr>
                <w:rFonts w:ascii="Times New Roman" w:eastAsia="Times New Roman" w:hAnsi="Times New Roman" w:cs="Times New Roman"/>
                <w:sz w:val="20"/>
                <w:szCs w:val="20"/>
              </w:rPr>
              <w:t xml:space="preserve">oint </w:t>
            </w:r>
            <w:r w:rsidRPr="00AC21F0">
              <w:rPr>
                <w:rFonts w:ascii="Times New Roman" w:eastAsia="Times New Roman" w:hAnsi="Times New Roman" w:cs="Times New Roman"/>
                <w:sz w:val="20"/>
                <w:szCs w:val="20"/>
              </w:rPr>
              <w:t xml:space="preserve">1, letter (c) </w:t>
            </w:r>
            <w:r w:rsidR="009A386A" w:rsidRPr="00AC21F0">
              <w:rPr>
                <w:rFonts w:ascii="Times New Roman" w:eastAsia="Times New Roman" w:hAnsi="Times New Roman" w:cs="Times New Roman"/>
                <w:sz w:val="20"/>
                <w:szCs w:val="20"/>
              </w:rPr>
              <w:t xml:space="preserve">of this article </w:t>
            </w:r>
            <w:r w:rsidRPr="00AC21F0">
              <w:rPr>
                <w:rFonts w:ascii="Times New Roman" w:eastAsia="Times New Roman" w:hAnsi="Times New Roman" w:cs="Times New Roman"/>
                <w:sz w:val="20"/>
                <w:szCs w:val="20"/>
              </w:rPr>
              <w:t xml:space="preserve">shall apply only to the payment service provider of the payee. The payment service provider of the payer shall be obliged to include such payments in the calculation of the threshold of twenty-five (25) payments per quarter. </w:t>
            </w:r>
          </w:p>
        </w:tc>
        <w:tc>
          <w:tcPr>
            <w:tcW w:w="720" w:type="dxa"/>
          </w:tcPr>
          <w:p w14:paraId="6937246A" w14:textId="42B9533B" w:rsidR="003C045B" w:rsidRPr="00AC21F0" w:rsidRDefault="003C045B" w:rsidP="006A0740">
            <w:pPr>
              <w:spacing w:line="240" w:lineRule="atLeast"/>
              <w:jc w:val="center"/>
              <w:rPr>
                <w:rFonts w:ascii="Times New Roman" w:eastAsia="Calibri" w:hAnsi="Times New Roman" w:cs="Times New Roman"/>
                <w:sz w:val="20"/>
                <w:szCs w:val="20"/>
                <w:lang w:val="en-US"/>
              </w:rPr>
            </w:pPr>
            <w:r w:rsidRPr="00AC21F0">
              <w:rPr>
                <w:rFonts w:ascii="Times New Roman" w:eastAsia="Calibri" w:hAnsi="Times New Roman" w:cs="Times New Roman"/>
                <w:sz w:val="20"/>
                <w:szCs w:val="20"/>
                <w:lang w:val="en-US"/>
              </w:rPr>
              <w:lastRenderedPageBreak/>
              <w:t>F</w:t>
            </w:r>
          </w:p>
        </w:tc>
        <w:tc>
          <w:tcPr>
            <w:tcW w:w="3510" w:type="dxa"/>
          </w:tcPr>
          <w:p w14:paraId="46F4CCAA" w14:textId="77777777" w:rsidR="0009621F" w:rsidRPr="00AC21F0" w:rsidRDefault="0009621F" w:rsidP="006A0740">
            <w:pPr>
              <w:spacing w:line="240" w:lineRule="atLeast"/>
              <w:rPr>
                <w:rFonts w:ascii="Times New Roman" w:hAnsi="Times New Roman" w:cs="Times New Roman"/>
                <w:sz w:val="20"/>
                <w:szCs w:val="20"/>
              </w:rPr>
            </w:pPr>
            <w:r w:rsidRPr="00AC21F0">
              <w:rPr>
                <w:rFonts w:ascii="Times New Roman" w:hAnsi="Times New Roman" w:cs="Times New Roman"/>
                <w:sz w:val="20"/>
                <w:szCs w:val="20"/>
              </w:rPr>
              <w:t>Compliant.</w:t>
            </w:r>
          </w:p>
          <w:p w14:paraId="007CBA3B" w14:textId="77777777" w:rsidR="0009621F" w:rsidRPr="00AC21F0" w:rsidRDefault="0009621F" w:rsidP="006A0740">
            <w:pPr>
              <w:spacing w:line="240" w:lineRule="atLeast"/>
              <w:rPr>
                <w:rFonts w:ascii="Times New Roman" w:hAnsi="Times New Roman" w:cs="Times New Roman"/>
                <w:sz w:val="20"/>
                <w:szCs w:val="20"/>
              </w:rPr>
            </w:pPr>
          </w:p>
          <w:p w14:paraId="361A2435" w14:textId="2416DAA0" w:rsidR="00237F57" w:rsidRPr="00AC21F0" w:rsidRDefault="003C045B" w:rsidP="006A0740">
            <w:pPr>
              <w:spacing w:line="240" w:lineRule="atLeast"/>
              <w:rPr>
                <w:rFonts w:ascii="Times New Roman" w:hAnsi="Times New Roman" w:cs="Times New Roman"/>
                <w:sz w:val="20"/>
                <w:szCs w:val="20"/>
              </w:rPr>
            </w:pPr>
            <w:r w:rsidRPr="00AC21F0">
              <w:rPr>
                <w:rFonts w:ascii="Times New Roman" w:hAnsi="Times New Roman" w:cs="Times New Roman"/>
                <w:sz w:val="20"/>
                <w:szCs w:val="20"/>
              </w:rPr>
              <w:t xml:space="preserve">Article 9 is </w:t>
            </w:r>
            <w:r w:rsidRPr="00AC21F0">
              <w:rPr>
                <w:rStyle w:val="Strong"/>
                <w:rFonts w:ascii="Times New Roman" w:hAnsi="Times New Roman" w:cs="Times New Roman"/>
                <w:b w:val="0"/>
                <w:bCs w:val="0"/>
                <w:sz w:val="20"/>
                <w:szCs w:val="20"/>
              </w:rPr>
              <w:t>fully compliant</w:t>
            </w:r>
            <w:r w:rsidRPr="00AC21F0">
              <w:rPr>
                <w:rFonts w:ascii="Times New Roman" w:hAnsi="Times New Roman" w:cs="Times New Roman"/>
                <w:sz w:val="20"/>
                <w:szCs w:val="20"/>
              </w:rPr>
              <w:t xml:space="preserve"> with Article 243b of Directive 2006/112/EC.</w:t>
            </w:r>
          </w:p>
          <w:p w14:paraId="360D75DB" w14:textId="77777777" w:rsidR="00237F57" w:rsidRPr="00AC21F0" w:rsidRDefault="00237F57" w:rsidP="006A0740">
            <w:pPr>
              <w:spacing w:line="240" w:lineRule="atLeast"/>
              <w:rPr>
                <w:rFonts w:ascii="Times New Roman" w:hAnsi="Times New Roman" w:cs="Times New Roman"/>
                <w:sz w:val="20"/>
                <w:szCs w:val="20"/>
              </w:rPr>
            </w:pPr>
          </w:p>
          <w:p w14:paraId="037CD299" w14:textId="1BCDEB11" w:rsidR="003C045B" w:rsidRPr="00AC21F0" w:rsidRDefault="003C045B" w:rsidP="006A0740">
            <w:pPr>
              <w:spacing w:line="240" w:lineRule="atLeast"/>
              <w:rPr>
                <w:rFonts w:ascii="Times New Roman" w:eastAsia="Calibri" w:hAnsi="Times New Roman" w:cs="Times New Roman"/>
                <w:sz w:val="20"/>
                <w:szCs w:val="20"/>
                <w:lang w:val="en-US"/>
              </w:rPr>
            </w:pPr>
            <w:r w:rsidRPr="00AC21F0">
              <w:rPr>
                <w:rFonts w:ascii="Times New Roman" w:hAnsi="Times New Roman" w:cs="Times New Roman"/>
                <w:sz w:val="20"/>
                <w:szCs w:val="20"/>
              </w:rPr>
              <w:t xml:space="preserve">It clearly sets out the obligations of payment service providers, the threshold of 25 payments for reporting, the method of calculation for each identifier, and the retention of data for three years, in </w:t>
            </w:r>
            <w:r w:rsidRPr="00AC21F0">
              <w:rPr>
                <w:rFonts w:ascii="Times New Roman" w:hAnsi="Times New Roman" w:cs="Times New Roman"/>
                <w:sz w:val="20"/>
                <w:szCs w:val="20"/>
              </w:rPr>
              <w:lastRenderedPageBreak/>
              <w:t>compliance with the CESOP structures and standards.</w:t>
            </w:r>
          </w:p>
        </w:tc>
      </w:tr>
      <w:tr w:rsidR="003C045B" w:rsidRPr="00AC21F0" w14:paraId="27605F4A" w14:textId="77777777" w:rsidTr="00990A3C">
        <w:tc>
          <w:tcPr>
            <w:tcW w:w="540" w:type="dxa"/>
            <w:shd w:val="clear" w:color="auto" w:fill="D0CECE" w:themeFill="background2" w:themeFillShade="E6"/>
          </w:tcPr>
          <w:p w14:paraId="544D4079" w14:textId="4E3F96B9" w:rsidR="003C045B" w:rsidRPr="00AC21F0" w:rsidRDefault="003C045B" w:rsidP="006A0740">
            <w:pPr>
              <w:spacing w:line="240" w:lineRule="atLeast"/>
              <w:rPr>
                <w:rFonts w:ascii="Times New Roman" w:eastAsia="Times New Roman" w:hAnsi="Times New Roman" w:cs="Times New Roman"/>
                <w:sz w:val="20"/>
                <w:szCs w:val="20"/>
                <w:lang w:eastAsia="sq-AL"/>
              </w:rPr>
            </w:pPr>
            <w:r w:rsidRPr="00AC21F0">
              <w:rPr>
                <w:rFonts w:ascii="Times New Roman" w:eastAsia="Times New Roman" w:hAnsi="Times New Roman" w:cs="Times New Roman"/>
                <w:sz w:val="20"/>
                <w:szCs w:val="20"/>
                <w:lang w:eastAsia="sq-AL"/>
              </w:rPr>
              <w:lastRenderedPageBreak/>
              <w:t>1</w:t>
            </w:r>
          </w:p>
        </w:tc>
        <w:tc>
          <w:tcPr>
            <w:tcW w:w="5400" w:type="dxa"/>
            <w:shd w:val="clear" w:color="auto" w:fill="D0CECE" w:themeFill="background2" w:themeFillShade="E6"/>
          </w:tcPr>
          <w:p w14:paraId="383B191F" w14:textId="77777777" w:rsidR="003C045B" w:rsidRPr="00AC21F0" w:rsidRDefault="003C045B" w:rsidP="006A0740">
            <w:pPr>
              <w:shd w:val="clear" w:color="auto" w:fill="FFFFFF"/>
              <w:spacing w:before="360" w:after="120" w:line="240" w:lineRule="atLeast"/>
              <w:rPr>
                <w:rFonts w:ascii="Times New Roman" w:eastAsia="Times New Roman" w:hAnsi="Times New Roman" w:cs="Times New Roman"/>
                <w:sz w:val="20"/>
                <w:szCs w:val="20"/>
                <w:lang w:eastAsia="sq-AL"/>
              </w:rPr>
            </w:pPr>
            <w:r w:rsidRPr="00AC21F0">
              <w:rPr>
                <w:rFonts w:ascii="Times New Roman" w:eastAsia="Times New Roman" w:hAnsi="Times New Roman" w:cs="Times New Roman"/>
                <w:sz w:val="20"/>
                <w:szCs w:val="20"/>
                <w:lang w:eastAsia="sq-AL"/>
              </w:rPr>
              <w:t>Article 243d</w:t>
            </w:r>
          </w:p>
          <w:p w14:paraId="32AF3B6C" w14:textId="31654630" w:rsidR="003C045B" w:rsidRPr="00AC21F0" w:rsidRDefault="003C045B" w:rsidP="006A0740">
            <w:pPr>
              <w:spacing w:line="240" w:lineRule="atLeast"/>
              <w:rPr>
                <w:rFonts w:ascii="Times New Roman" w:eastAsia="Times New Roman" w:hAnsi="Times New Roman" w:cs="Times New Roman"/>
                <w:sz w:val="20"/>
                <w:szCs w:val="20"/>
                <w:lang w:eastAsia="sq-AL"/>
              </w:rPr>
            </w:pPr>
          </w:p>
        </w:tc>
        <w:tc>
          <w:tcPr>
            <w:tcW w:w="450" w:type="dxa"/>
            <w:shd w:val="clear" w:color="auto" w:fill="D0CECE" w:themeFill="background2" w:themeFillShade="E6"/>
          </w:tcPr>
          <w:p w14:paraId="4E19E6AD" w14:textId="3144A471" w:rsidR="003C045B" w:rsidRPr="00AC21F0" w:rsidRDefault="003C045B" w:rsidP="006A0740">
            <w:pPr>
              <w:spacing w:line="240" w:lineRule="atLeast"/>
              <w:jc w:val="center"/>
              <w:rPr>
                <w:rFonts w:ascii="Times New Roman" w:eastAsia="Calibri" w:hAnsi="Times New Roman" w:cs="Times New Roman"/>
                <w:sz w:val="20"/>
                <w:szCs w:val="20"/>
              </w:rPr>
            </w:pPr>
          </w:p>
        </w:tc>
        <w:tc>
          <w:tcPr>
            <w:tcW w:w="644" w:type="dxa"/>
            <w:shd w:val="clear" w:color="auto" w:fill="D0CECE" w:themeFill="background2" w:themeFillShade="E6"/>
          </w:tcPr>
          <w:p w14:paraId="72640A97" w14:textId="46DD4248"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5040" w:type="dxa"/>
            <w:shd w:val="clear" w:color="auto" w:fill="D0CECE" w:themeFill="background2" w:themeFillShade="E6"/>
          </w:tcPr>
          <w:p w14:paraId="1B61FC63" w14:textId="77777777" w:rsidR="00201DBB" w:rsidRPr="00AC21F0" w:rsidRDefault="00201DBB" w:rsidP="006A0740">
            <w:pPr>
              <w:spacing w:line="240" w:lineRule="atLeast"/>
              <w:jc w:val="center"/>
              <w:rPr>
                <w:rFonts w:ascii="Times New Roman" w:eastAsia="Times New Roman" w:hAnsi="Times New Roman" w:cs="Times New Roman"/>
                <w:bCs/>
                <w:sz w:val="20"/>
                <w:szCs w:val="20"/>
              </w:rPr>
            </w:pPr>
            <w:r w:rsidRPr="00AC21F0">
              <w:rPr>
                <w:rFonts w:ascii="Times New Roman" w:hAnsi="Times New Roman" w:cs="Times New Roman"/>
                <w:sz w:val="20"/>
                <w:szCs w:val="20"/>
              </w:rPr>
              <w:t>Article 10</w:t>
            </w:r>
            <w:r w:rsidRPr="00AC21F0">
              <w:rPr>
                <w:rFonts w:ascii="Times New Roman" w:hAnsi="Times New Roman" w:cs="Times New Roman"/>
                <w:sz w:val="20"/>
                <w:szCs w:val="20"/>
              </w:rPr>
              <w:br/>
              <w:t>Content and maintenance of data by Payment Service Providers</w:t>
            </w:r>
          </w:p>
          <w:p w14:paraId="02F73593" w14:textId="6CB7163E"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720" w:type="dxa"/>
            <w:shd w:val="clear" w:color="auto" w:fill="D0CECE" w:themeFill="background2" w:themeFillShade="E6"/>
          </w:tcPr>
          <w:p w14:paraId="60CEFF79" w14:textId="163E3D01"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3510" w:type="dxa"/>
            <w:shd w:val="clear" w:color="auto" w:fill="D0CECE" w:themeFill="background2" w:themeFillShade="E6"/>
          </w:tcPr>
          <w:p w14:paraId="002BB236" w14:textId="77777777" w:rsidR="003C045B" w:rsidRPr="00AC21F0" w:rsidRDefault="003C045B" w:rsidP="006A0740">
            <w:pPr>
              <w:spacing w:line="240" w:lineRule="atLeast"/>
              <w:rPr>
                <w:rFonts w:ascii="Times New Roman" w:eastAsia="Calibri" w:hAnsi="Times New Roman" w:cs="Times New Roman"/>
                <w:sz w:val="20"/>
                <w:szCs w:val="20"/>
                <w:lang w:val="en-US"/>
              </w:rPr>
            </w:pPr>
          </w:p>
        </w:tc>
      </w:tr>
      <w:tr w:rsidR="003C045B" w:rsidRPr="00AC21F0" w14:paraId="26A635EE" w14:textId="77777777" w:rsidTr="004738EE">
        <w:trPr>
          <w:trHeight w:val="1875"/>
        </w:trPr>
        <w:tc>
          <w:tcPr>
            <w:tcW w:w="540" w:type="dxa"/>
          </w:tcPr>
          <w:p w14:paraId="37347107" w14:textId="4D5D7C68"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tcPr>
          <w:p w14:paraId="6286CF99" w14:textId="77777777" w:rsidR="003C045B" w:rsidRPr="00AC21F0" w:rsidRDefault="003C045B" w:rsidP="006A0740">
            <w:pPr>
              <w:shd w:val="clear" w:color="auto" w:fill="FFFFFF"/>
              <w:spacing w:before="120" w:line="240" w:lineRule="atLeast"/>
              <w:jc w:val="both"/>
              <w:rPr>
                <w:rFonts w:ascii="Times New Roman" w:eastAsia="Times New Roman" w:hAnsi="Times New Roman" w:cs="Times New Roman"/>
                <w:color w:val="333333"/>
                <w:sz w:val="20"/>
                <w:szCs w:val="20"/>
              </w:rPr>
            </w:pPr>
            <w:r w:rsidRPr="00AC21F0">
              <w:rPr>
                <w:rFonts w:ascii="Times New Roman" w:eastAsia="Times New Roman" w:hAnsi="Times New Roman" w:cs="Times New Roman"/>
                <w:color w:val="333333"/>
                <w:sz w:val="20"/>
                <w:szCs w:val="20"/>
              </w:rPr>
              <w:t>1.   The records to be kept by the payment service providers, pursuant to Article 243b, shall contain the following information:</w:t>
            </w:r>
          </w:p>
          <w:tbl>
            <w:tblPr>
              <w:tblW w:w="5000" w:type="pct"/>
              <w:tblLayout w:type="fixed"/>
              <w:tblCellMar>
                <w:left w:w="0" w:type="dxa"/>
                <w:right w:w="0" w:type="dxa"/>
              </w:tblCellMar>
              <w:tblLook w:val="04A0" w:firstRow="1" w:lastRow="0" w:firstColumn="1" w:lastColumn="0" w:noHBand="0" w:noVBand="1"/>
            </w:tblPr>
            <w:tblGrid>
              <w:gridCol w:w="156"/>
              <w:gridCol w:w="5028"/>
            </w:tblGrid>
            <w:tr w:rsidR="003C045B" w:rsidRPr="00AC21F0" w14:paraId="55AA76C1" w14:textId="77777777" w:rsidTr="006C4222">
              <w:tc>
                <w:tcPr>
                  <w:tcW w:w="267" w:type="dxa"/>
                  <w:hideMark/>
                </w:tcPr>
                <w:p w14:paraId="68D70762"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(a)</w:t>
                  </w:r>
                </w:p>
              </w:tc>
              <w:tc>
                <w:tcPr>
                  <w:tcW w:w="9093" w:type="dxa"/>
                  <w:hideMark/>
                </w:tcPr>
                <w:p w14:paraId="1C431C89"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the BIC or any other business identifier code that unambiguously identifies the payment service provider;</w:t>
                  </w:r>
                </w:p>
              </w:tc>
            </w:tr>
          </w:tbl>
          <w:p w14:paraId="079AB2CB"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64"/>
              <w:gridCol w:w="5020"/>
            </w:tblGrid>
            <w:tr w:rsidR="003C045B" w:rsidRPr="00AC21F0" w14:paraId="6B6B1783" w14:textId="77777777" w:rsidTr="006C4222">
              <w:tc>
                <w:tcPr>
                  <w:tcW w:w="280" w:type="dxa"/>
                  <w:hideMark/>
                </w:tcPr>
                <w:p w14:paraId="54C9BFB4"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(b)</w:t>
                  </w:r>
                </w:p>
              </w:tc>
              <w:tc>
                <w:tcPr>
                  <w:tcW w:w="9080" w:type="dxa"/>
                  <w:hideMark/>
                </w:tcPr>
                <w:p w14:paraId="5ACC51CD"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the name or business name of the payee, as it appears in the records of the payment services provider;</w:t>
                  </w:r>
                </w:p>
              </w:tc>
            </w:tr>
          </w:tbl>
          <w:p w14:paraId="0671E7F7"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70"/>
              <w:gridCol w:w="5014"/>
            </w:tblGrid>
            <w:tr w:rsidR="003C045B" w:rsidRPr="00AC21F0" w14:paraId="3C9E1516" w14:textId="77777777" w:rsidTr="006C4222">
              <w:tc>
                <w:tcPr>
                  <w:tcW w:w="291" w:type="dxa"/>
                  <w:hideMark/>
                </w:tcPr>
                <w:p w14:paraId="5ADCAD72"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(c)</w:t>
                  </w:r>
                </w:p>
              </w:tc>
              <w:tc>
                <w:tcPr>
                  <w:tcW w:w="9069" w:type="dxa"/>
                  <w:hideMark/>
                </w:tcPr>
                <w:p w14:paraId="5EF6C986"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if available, any VAT identification number or other national tax number of the payee;</w:t>
                  </w:r>
                </w:p>
              </w:tc>
            </w:tr>
          </w:tbl>
          <w:p w14:paraId="179BCD0E"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64"/>
              <w:gridCol w:w="5020"/>
            </w:tblGrid>
            <w:tr w:rsidR="003C045B" w:rsidRPr="00AC21F0" w14:paraId="6EDB8696" w14:textId="77777777" w:rsidTr="006C4222">
              <w:tc>
                <w:tcPr>
                  <w:tcW w:w="280" w:type="dxa"/>
                  <w:hideMark/>
                </w:tcPr>
                <w:p w14:paraId="4F164051"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(d)</w:t>
                  </w:r>
                </w:p>
              </w:tc>
              <w:tc>
                <w:tcPr>
                  <w:tcW w:w="9080" w:type="dxa"/>
                  <w:hideMark/>
                </w:tcPr>
                <w:p w14:paraId="23AE400A"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the IBAN or, if the IBAN is not available, any other identifier which unambiguously identifies, and gives the location of, the payee;</w:t>
                  </w:r>
                </w:p>
              </w:tc>
            </w:tr>
          </w:tbl>
          <w:p w14:paraId="76C72937"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56"/>
              <w:gridCol w:w="5028"/>
            </w:tblGrid>
            <w:tr w:rsidR="003C045B" w:rsidRPr="00AC21F0" w14:paraId="1637FC27" w14:textId="77777777" w:rsidTr="006C4222">
              <w:tc>
                <w:tcPr>
                  <w:tcW w:w="267" w:type="dxa"/>
                  <w:hideMark/>
                </w:tcPr>
                <w:p w14:paraId="51852594"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(e)</w:t>
                  </w:r>
                </w:p>
              </w:tc>
              <w:tc>
                <w:tcPr>
                  <w:tcW w:w="9093" w:type="dxa"/>
                  <w:hideMark/>
                </w:tcPr>
                <w:p w14:paraId="7BFF8FAE"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the BIC or any other business identifier code that unambiguously identifies, and gives the location of, the payment service provider acting on behalf of the payee where the payee receives funds without having any payment account;</w:t>
                  </w:r>
                </w:p>
              </w:tc>
            </w:tr>
          </w:tbl>
          <w:p w14:paraId="7CD1140B"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41"/>
              <w:gridCol w:w="5043"/>
            </w:tblGrid>
            <w:tr w:rsidR="003C045B" w:rsidRPr="00AC21F0" w14:paraId="3B714FE8" w14:textId="77777777" w:rsidTr="006C4222">
              <w:tc>
                <w:tcPr>
                  <w:tcW w:w="240" w:type="dxa"/>
                  <w:hideMark/>
                </w:tcPr>
                <w:p w14:paraId="7BFAECD1"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(f)</w:t>
                  </w:r>
                </w:p>
              </w:tc>
              <w:tc>
                <w:tcPr>
                  <w:tcW w:w="9120" w:type="dxa"/>
                  <w:hideMark/>
                </w:tcPr>
                <w:p w14:paraId="645C13D2"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if available, the address of the payee as it appears in the records of the payment services provider;</w:t>
                  </w:r>
                </w:p>
              </w:tc>
            </w:tr>
          </w:tbl>
          <w:p w14:paraId="05135159"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208"/>
              <w:gridCol w:w="4976"/>
            </w:tblGrid>
            <w:tr w:rsidR="003C045B" w:rsidRPr="00AC21F0" w14:paraId="615FF9D0" w14:textId="77777777" w:rsidTr="006C4222">
              <w:tc>
                <w:tcPr>
                  <w:tcW w:w="361" w:type="dxa"/>
                  <w:hideMark/>
                </w:tcPr>
                <w:p w14:paraId="5124838B"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lastRenderedPageBreak/>
                    <w:t>(g)</w:t>
                  </w:r>
                </w:p>
              </w:tc>
              <w:tc>
                <w:tcPr>
                  <w:tcW w:w="8999" w:type="dxa"/>
                  <w:hideMark/>
                </w:tcPr>
                <w:p w14:paraId="00D75EE4"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the details of any cross-border payment as referred to in Article 243b(1);</w:t>
                  </w:r>
                </w:p>
              </w:tc>
            </w:tr>
          </w:tbl>
          <w:p w14:paraId="39FF881E"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64"/>
              <w:gridCol w:w="5020"/>
            </w:tblGrid>
            <w:tr w:rsidR="003C045B" w:rsidRPr="00AC21F0" w14:paraId="0A52B5FE" w14:textId="77777777" w:rsidTr="006C4222">
              <w:tc>
                <w:tcPr>
                  <w:tcW w:w="280" w:type="dxa"/>
                  <w:hideMark/>
                </w:tcPr>
                <w:p w14:paraId="1B15A6E4"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(h)</w:t>
                  </w:r>
                </w:p>
              </w:tc>
              <w:tc>
                <w:tcPr>
                  <w:tcW w:w="9080" w:type="dxa"/>
                  <w:hideMark/>
                </w:tcPr>
                <w:p w14:paraId="28B030F3"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the details of any payment refunds identified as relating to the cross-border payments referred to in point (g).</w:t>
                  </w:r>
                </w:p>
              </w:tc>
            </w:tr>
          </w:tbl>
          <w:p w14:paraId="221C9157" w14:textId="77777777" w:rsidR="003C045B" w:rsidRPr="00AC21F0" w:rsidRDefault="003C045B" w:rsidP="006A0740">
            <w:pPr>
              <w:shd w:val="clear" w:color="auto" w:fill="FFFFFF"/>
              <w:spacing w:before="120" w:line="240" w:lineRule="atLeast"/>
              <w:jc w:val="both"/>
              <w:rPr>
                <w:rFonts w:ascii="Times New Roman" w:eastAsia="Times New Roman" w:hAnsi="Times New Roman" w:cs="Times New Roman"/>
                <w:color w:val="333333"/>
                <w:sz w:val="20"/>
                <w:szCs w:val="20"/>
              </w:rPr>
            </w:pPr>
            <w:r w:rsidRPr="00AC21F0">
              <w:rPr>
                <w:rFonts w:ascii="Times New Roman" w:eastAsia="Times New Roman" w:hAnsi="Times New Roman" w:cs="Times New Roman"/>
                <w:color w:val="333333"/>
                <w:sz w:val="20"/>
                <w:szCs w:val="20"/>
              </w:rPr>
              <w:t>2.   The information referred to in points (g) and (h) of paragraph 1 shall contain the following details:</w:t>
            </w:r>
          </w:p>
          <w:tbl>
            <w:tblPr>
              <w:tblW w:w="5000" w:type="pct"/>
              <w:tblLayout w:type="fixed"/>
              <w:tblCellMar>
                <w:left w:w="0" w:type="dxa"/>
                <w:right w:w="0" w:type="dxa"/>
              </w:tblCellMar>
              <w:tblLook w:val="04A0" w:firstRow="1" w:lastRow="0" w:firstColumn="1" w:lastColumn="0" w:noHBand="0" w:noVBand="1"/>
            </w:tblPr>
            <w:tblGrid>
              <w:gridCol w:w="242"/>
              <w:gridCol w:w="4942"/>
            </w:tblGrid>
            <w:tr w:rsidR="003C045B" w:rsidRPr="00AC21F0" w14:paraId="5CC6756A" w14:textId="77777777" w:rsidTr="006C4222">
              <w:tc>
                <w:tcPr>
                  <w:tcW w:w="422" w:type="dxa"/>
                  <w:hideMark/>
                </w:tcPr>
                <w:p w14:paraId="3D0075B2"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(a)</w:t>
                  </w:r>
                </w:p>
              </w:tc>
              <w:tc>
                <w:tcPr>
                  <w:tcW w:w="8938" w:type="dxa"/>
                  <w:hideMark/>
                </w:tcPr>
                <w:p w14:paraId="55B00541"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the date and time of the payment or of the payment refund;</w:t>
                  </w:r>
                </w:p>
              </w:tc>
            </w:tr>
          </w:tbl>
          <w:p w14:paraId="44934570"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215"/>
              <w:gridCol w:w="4969"/>
            </w:tblGrid>
            <w:tr w:rsidR="003C045B" w:rsidRPr="00AC21F0" w14:paraId="5587CC3C" w14:textId="77777777" w:rsidTr="006C4222">
              <w:tc>
                <w:tcPr>
                  <w:tcW w:w="373" w:type="dxa"/>
                  <w:hideMark/>
                </w:tcPr>
                <w:p w14:paraId="60DBC309"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(b)</w:t>
                  </w:r>
                </w:p>
              </w:tc>
              <w:tc>
                <w:tcPr>
                  <w:tcW w:w="8987" w:type="dxa"/>
                  <w:hideMark/>
                </w:tcPr>
                <w:p w14:paraId="69D618F1"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the amount and the currency of the payment or of the payment refund;</w:t>
                  </w:r>
                </w:p>
              </w:tc>
            </w:tr>
          </w:tbl>
          <w:p w14:paraId="55B30F35"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56"/>
              <w:gridCol w:w="5028"/>
            </w:tblGrid>
            <w:tr w:rsidR="003C045B" w:rsidRPr="00AC21F0" w14:paraId="020FA068" w14:textId="77777777" w:rsidTr="006C4222">
              <w:tc>
                <w:tcPr>
                  <w:tcW w:w="267" w:type="dxa"/>
                  <w:hideMark/>
                </w:tcPr>
                <w:p w14:paraId="515B564B"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(c)</w:t>
                  </w:r>
                </w:p>
              </w:tc>
              <w:tc>
                <w:tcPr>
                  <w:tcW w:w="9093" w:type="dxa"/>
                  <w:hideMark/>
                </w:tcPr>
                <w:p w14:paraId="380A669F"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the Member State of origin of the payment received by or on behalf of the payee, the Member State of destination of the refund, as appropriate, and the information used to determine the origin or the destination of the payment or of the payment refund in accordance with Article 243c;</w:t>
                  </w:r>
                </w:p>
              </w:tc>
            </w:tr>
          </w:tbl>
          <w:p w14:paraId="2C896390"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249"/>
              <w:gridCol w:w="4935"/>
            </w:tblGrid>
            <w:tr w:rsidR="003C045B" w:rsidRPr="00AC21F0" w14:paraId="714882C6" w14:textId="77777777" w:rsidTr="006C4222">
              <w:tc>
                <w:tcPr>
                  <w:tcW w:w="435" w:type="dxa"/>
                  <w:hideMark/>
                </w:tcPr>
                <w:p w14:paraId="2DBD647B"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(d)</w:t>
                  </w:r>
                </w:p>
              </w:tc>
              <w:tc>
                <w:tcPr>
                  <w:tcW w:w="8925" w:type="dxa"/>
                  <w:hideMark/>
                </w:tcPr>
                <w:p w14:paraId="55C49301"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any reference which unambiguously identifies the payment;</w:t>
                  </w:r>
                </w:p>
              </w:tc>
            </w:tr>
          </w:tbl>
          <w:p w14:paraId="05CDD7F9"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156"/>
              <w:gridCol w:w="5028"/>
            </w:tblGrid>
            <w:tr w:rsidR="003C045B" w:rsidRPr="00AC21F0" w14:paraId="0238E7BA" w14:textId="77777777" w:rsidTr="006C4222">
              <w:tc>
                <w:tcPr>
                  <w:tcW w:w="267" w:type="dxa"/>
                  <w:hideMark/>
                </w:tcPr>
                <w:p w14:paraId="44E3309E"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(e)</w:t>
                  </w:r>
                </w:p>
              </w:tc>
              <w:tc>
                <w:tcPr>
                  <w:tcW w:w="9093" w:type="dxa"/>
                  <w:hideMark/>
                </w:tcPr>
                <w:p w14:paraId="5ACCE9F9"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where applicable, information that the payment is initiated at the physical premises of the merchant..</w:t>
                  </w:r>
                </w:p>
              </w:tc>
            </w:tr>
          </w:tbl>
          <w:p w14:paraId="02F6F541" w14:textId="1F16EBB7" w:rsidR="003C045B" w:rsidRPr="00AC21F0" w:rsidRDefault="003C045B" w:rsidP="006A0740">
            <w:pPr>
              <w:spacing w:line="240" w:lineRule="atLeast"/>
              <w:jc w:val="both"/>
              <w:rPr>
                <w:rFonts w:ascii="Times New Roman" w:eastAsia="Calibri" w:hAnsi="Times New Roman" w:cs="Times New Roman"/>
                <w:iCs/>
                <w:sz w:val="20"/>
                <w:szCs w:val="20"/>
                <w:lang w:val="en-US"/>
              </w:rPr>
            </w:pPr>
          </w:p>
        </w:tc>
        <w:tc>
          <w:tcPr>
            <w:tcW w:w="450" w:type="dxa"/>
          </w:tcPr>
          <w:p w14:paraId="4490F7F0" w14:textId="5E59336E" w:rsidR="003C045B" w:rsidRPr="00AC21F0" w:rsidRDefault="003C045B" w:rsidP="006A0740">
            <w:pPr>
              <w:spacing w:line="240" w:lineRule="atLeast"/>
              <w:jc w:val="center"/>
              <w:rPr>
                <w:rFonts w:ascii="Times New Roman" w:eastAsia="Calibri" w:hAnsi="Times New Roman" w:cs="Times New Roman"/>
                <w:sz w:val="20"/>
                <w:szCs w:val="20"/>
              </w:rPr>
            </w:pPr>
          </w:p>
        </w:tc>
        <w:tc>
          <w:tcPr>
            <w:tcW w:w="644" w:type="dxa"/>
          </w:tcPr>
          <w:p w14:paraId="3A291DFE" w14:textId="5295F808"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5040" w:type="dxa"/>
            <w:tcBorders>
              <w:bottom w:val="dashed" w:sz="4" w:space="0" w:color="auto"/>
            </w:tcBorders>
          </w:tcPr>
          <w:p w14:paraId="5EE8C279" w14:textId="77777777"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1.</w:t>
            </w:r>
            <w:r w:rsidRPr="00AC21F0">
              <w:rPr>
                <w:rFonts w:ascii="Times New Roman" w:eastAsia="Times New Roman" w:hAnsi="Times New Roman" w:cs="Times New Roman"/>
                <w:sz w:val="20"/>
                <w:szCs w:val="20"/>
              </w:rPr>
              <w:tab/>
              <w:t>The records maintained by the payment service provider shall contain at least the following information:</w:t>
            </w:r>
          </w:p>
          <w:p w14:paraId="2279848F"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2ADF2B4E" w14:textId="77777777"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a) the BIC or any other business identifier code clearly identifying the payment service provider;</w:t>
            </w:r>
          </w:p>
          <w:p w14:paraId="4E8D2281"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1771A088" w14:textId="77777777"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b) the name of the payee or the payee’s business name, as it appears in the records of the payment service provider;</w:t>
            </w:r>
          </w:p>
          <w:p w14:paraId="7D2849EF"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0DA94F70" w14:textId="77777777"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c) the VAT identification number, or any other national tax number of the payee, where available;</w:t>
            </w:r>
          </w:p>
          <w:p w14:paraId="335927AC"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7E53BCDC" w14:textId="6430C00C" w:rsidR="00201DBB" w:rsidRPr="00AC21F0" w:rsidRDefault="00BF1CF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ç</w:t>
            </w:r>
            <w:r w:rsidR="00201DBB" w:rsidRPr="00AC21F0">
              <w:rPr>
                <w:rFonts w:ascii="Times New Roman" w:eastAsia="Times New Roman" w:hAnsi="Times New Roman" w:cs="Times New Roman"/>
                <w:sz w:val="20"/>
                <w:szCs w:val="20"/>
              </w:rPr>
              <w:t>) the IBAN, or any other unique identifier that clearly identifies and indicates the location of the payee, where available;</w:t>
            </w:r>
          </w:p>
          <w:p w14:paraId="6D8139C8"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1192A339" w14:textId="3D44672C" w:rsidR="00201DBB" w:rsidRPr="00AC21F0" w:rsidRDefault="00BF1CF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d</w:t>
            </w:r>
            <w:r w:rsidR="00201DBB" w:rsidRPr="00AC21F0">
              <w:rPr>
                <w:rFonts w:ascii="Times New Roman" w:eastAsia="Times New Roman" w:hAnsi="Times New Roman" w:cs="Times New Roman"/>
                <w:sz w:val="20"/>
                <w:szCs w:val="20"/>
              </w:rPr>
              <w:t>) where the payee receives funds without having a payment account, the BIC or any other business identifier code that clearly identifies and indicates the location of the payment service provider acting on behalf of the payee;</w:t>
            </w:r>
          </w:p>
          <w:p w14:paraId="418C7508"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44729E01" w14:textId="0436E286" w:rsidR="00201DBB" w:rsidRPr="00AC21F0" w:rsidRDefault="00BF1CF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lastRenderedPageBreak/>
              <w:t>dh</w:t>
            </w:r>
            <w:r w:rsidR="00201DBB" w:rsidRPr="00AC21F0">
              <w:rPr>
                <w:rFonts w:ascii="Times New Roman" w:eastAsia="Times New Roman" w:hAnsi="Times New Roman" w:cs="Times New Roman"/>
                <w:sz w:val="20"/>
                <w:szCs w:val="20"/>
              </w:rPr>
              <w:t>) the address of the payee, as it appears in the records of the payment service provider, where available;</w:t>
            </w:r>
          </w:p>
          <w:p w14:paraId="7C246DFE"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1C9C9D1D" w14:textId="489CD27F" w:rsidR="00201DBB" w:rsidRPr="00AC21F0" w:rsidRDefault="00BF1CF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e</w:t>
            </w:r>
            <w:r w:rsidR="00201DBB" w:rsidRPr="00AC21F0">
              <w:rPr>
                <w:rFonts w:ascii="Times New Roman" w:eastAsia="Times New Roman" w:hAnsi="Times New Roman" w:cs="Times New Roman"/>
                <w:sz w:val="20"/>
                <w:szCs w:val="20"/>
              </w:rPr>
              <w:t>) the data relating to each cross-border payment transaction, including all unique identifiers of the payee and the location of the payee;</w:t>
            </w:r>
          </w:p>
          <w:p w14:paraId="3F44347B"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369E2F72" w14:textId="4344253B" w:rsidR="00201DBB" w:rsidRPr="00AC21F0" w:rsidRDefault="00BF1CF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ë</w:t>
            </w:r>
            <w:r w:rsidR="00201DBB" w:rsidRPr="00AC21F0">
              <w:rPr>
                <w:rFonts w:ascii="Times New Roman" w:eastAsia="Times New Roman" w:hAnsi="Times New Roman" w:cs="Times New Roman"/>
                <w:sz w:val="20"/>
                <w:szCs w:val="20"/>
              </w:rPr>
              <w:t>) the data relating to each refund connected with cross-border transactions.</w:t>
            </w:r>
          </w:p>
          <w:p w14:paraId="6D8EFD4E"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219891D3" w14:textId="2B75EBD1"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2.</w:t>
            </w:r>
            <w:r w:rsidRPr="00AC21F0">
              <w:rPr>
                <w:rFonts w:ascii="Times New Roman" w:eastAsia="Times New Roman" w:hAnsi="Times New Roman" w:cs="Times New Roman"/>
                <w:sz w:val="20"/>
                <w:szCs w:val="20"/>
              </w:rPr>
              <w:tab/>
              <w:t>The data referred to in p</w:t>
            </w:r>
            <w:r w:rsidR="009A386A" w:rsidRPr="00AC21F0">
              <w:rPr>
                <w:rFonts w:ascii="Times New Roman" w:eastAsia="Times New Roman" w:hAnsi="Times New Roman" w:cs="Times New Roman"/>
                <w:sz w:val="20"/>
                <w:szCs w:val="20"/>
              </w:rPr>
              <w:t>oint</w:t>
            </w:r>
            <w:r w:rsidRPr="00AC21F0">
              <w:rPr>
                <w:rFonts w:ascii="Times New Roman" w:eastAsia="Times New Roman" w:hAnsi="Times New Roman" w:cs="Times New Roman"/>
                <w:sz w:val="20"/>
                <w:szCs w:val="20"/>
              </w:rPr>
              <w:t xml:space="preserve"> 1, letter (</w:t>
            </w:r>
            <w:r w:rsidR="00BF1CFB" w:rsidRPr="00AC21F0">
              <w:rPr>
                <w:rFonts w:ascii="Times New Roman" w:eastAsia="Times New Roman" w:hAnsi="Times New Roman" w:cs="Times New Roman"/>
                <w:sz w:val="20"/>
                <w:szCs w:val="20"/>
              </w:rPr>
              <w:t>e</w:t>
            </w:r>
            <w:r w:rsidRPr="00AC21F0">
              <w:rPr>
                <w:rFonts w:ascii="Times New Roman" w:eastAsia="Times New Roman" w:hAnsi="Times New Roman" w:cs="Times New Roman"/>
                <w:sz w:val="20"/>
                <w:szCs w:val="20"/>
              </w:rPr>
              <w:t>) and (</w:t>
            </w:r>
            <w:r w:rsidR="00BF1CFB" w:rsidRPr="00AC21F0">
              <w:rPr>
                <w:rFonts w:ascii="Times New Roman" w:eastAsia="Times New Roman" w:hAnsi="Times New Roman" w:cs="Times New Roman"/>
                <w:sz w:val="20"/>
                <w:szCs w:val="20"/>
              </w:rPr>
              <w:t>ë</w:t>
            </w:r>
            <w:r w:rsidRPr="00AC21F0">
              <w:rPr>
                <w:rFonts w:ascii="Times New Roman" w:eastAsia="Times New Roman" w:hAnsi="Times New Roman" w:cs="Times New Roman"/>
                <w:sz w:val="20"/>
                <w:szCs w:val="20"/>
              </w:rPr>
              <w:t xml:space="preserve">), of this </w:t>
            </w:r>
            <w:r w:rsidR="009A386A" w:rsidRPr="00AC21F0">
              <w:rPr>
                <w:rFonts w:ascii="Times New Roman" w:eastAsia="Times New Roman" w:hAnsi="Times New Roman" w:cs="Times New Roman"/>
                <w:sz w:val="20"/>
                <w:szCs w:val="20"/>
              </w:rPr>
              <w:t>article</w:t>
            </w:r>
            <w:r w:rsidRPr="00AC21F0">
              <w:rPr>
                <w:rFonts w:ascii="Times New Roman" w:eastAsia="Times New Roman" w:hAnsi="Times New Roman" w:cs="Times New Roman"/>
                <w:sz w:val="20"/>
                <w:szCs w:val="20"/>
              </w:rPr>
              <w:t>, shall include the following details:</w:t>
            </w:r>
          </w:p>
          <w:p w14:paraId="751F021F"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41A1617D" w14:textId="77777777"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a) the date and time of the payment or refund;</w:t>
            </w:r>
          </w:p>
          <w:p w14:paraId="6725C68F"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2F3F4719" w14:textId="77777777"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b) the amount and currency of the payment or refund;</w:t>
            </w:r>
          </w:p>
          <w:p w14:paraId="29975A2F"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2E6B7738" w14:textId="77777777"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c) the Member State of origin of the payment, according to the information available to the payment service provider;</w:t>
            </w:r>
          </w:p>
          <w:p w14:paraId="6BC97762"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2AF5D4DA" w14:textId="77777777"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d) the Member State of destination of the refund, where applicable, and any information used to determine the origin or destination of the payment or refund;</w:t>
            </w:r>
          </w:p>
          <w:p w14:paraId="33F3788D"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1E648C65" w14:textId="77777777"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e) any reference clearly identifying the payment;</w:t>
            </w:r>
          </w:p>
          <w:p w14:paraId="126AC9FF"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25D4042B" w14:textId="77777777" w:rsidR="00201DBB"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f) information indicating that the payment was initiated at the physical premises of the entity, where applicable.</w:t>
            </w:r>
          </w:p>
          <w:p w14:paraId="51B0B8DE" w14:textId="77777777" w:rsidR="00201DBB" w:rsidRPr="00AC21F0" w:rsidRDefault="00201DBB" w:rsidP="006A0740">
            <w:pPr>
              <w:spacing w:line="240" w:lineRule="atLeast"/>
              <w:jc w:val="both"/>
              <w:rPr>
                <w:rFonts w:ascii="Times New Roman" w:eastAsia="Times New Roman" w:hAnsi="Times New Roman" w:cs="Times New Roman"/>
                <w:sz w:val="20"/>
                <w:szCs w:val="20"/>
              </w:rPr>
            </w:pPr>
          </w:p>
          <w:p w14:paraId="111BBCCF" w14:textId="03A34B35" w:rsidR="007A3FF9" w:rsidRPr="00AC21F0" w:rsidRDefault="00201DBB"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3.</w:t>
            </w:r>
            <w:r w:rsidRPr="00AC21F0">
              <w:rPr>
                <w:rFonts w:ascii="Times New Roman" w:eastAsia="Times New Roman" w:hAnsi="Times New Roman" w:cs="Times New Roman"/>
                <w:sz w:val="20"/>
                <w:szCs w:val="20"/>
              </w:rPr>
              <w:tab/>
              <w:t>The data referred to in p</w:t>
            </w:r>
            <w:r w:rsidR="009A386A" w:rsidRPr="00AC21F0">
              <w:rPr>
                <w:rFonts w:ascii="Times New Roman" w:eastAsia="Times New Roman" w:hAnsi="Times New Roman" w:cs="Times New Roman"/>
                <w:sz w:val="20"/>
                <w:szCs w:val="20"/>
              </w:rPr>
              <w:t>oints</w:t>
            </w:r>
            <w:r w:rsidRPr="00AC21F0">
              <w:rPr>
                <w:rFonts w:ascii="Times New Roman" w:eastAsia="Times New Roman" w:hAnsi="Times New Roman" w:cs="Times New Roman"/>
                <w:sz w:val="20"/>
                <w:szCs w:val="20"/>
              </w:rPr>
              <w:t xml:space="preserve"> 1 and 2 </w:t>
            </w:r>
            <w:r w:rsidR="009A386A" w:rsidRPr="00AC21F0">
              <w:rPr>
                <w:rFonts w:ascii="Times New Roman" w:eastAsia="Times New Roman" w:hAnsi="Times New Roman" w:cs="Times New Roman"/>
                <w:sz w:val="20"/>
                <w:szCs w:val="20"/>
              </w:rPr>
              <w:t xml:space="preserve">of this article </w:t>
            </w:r>
            <w:r w:rsidRPr="00AC21F0">
              <w:rPr>
                <w:rFonts w:ascii="Times New Roman" w:eastAsia="Times New Roman" w:hAnsi="Times New Roman" w:cs="Times New Roman"/>
                <w:sz w:val="20"/>
                <w:szCs w:val="20"/>
              </w:rPr>
              <w:t xml:space="preserve">shall be accurate, complete and ready for transmission to the </w:t>
            </w:r>
            <w:r w:rsidRPr="00AC21F0">
              <w:rPr>
                <w:rFonts w:ascii="Times New Roman" w:eastAsia="Times New Roman" w:hAnsi="Times New Roman" w:cs="Times New Roman"/>
                <w:sz w:val="20"/>
                <w:szCs w:val="20"/>
              </w:rPr>
              <w:lastRenderedPageBreak/>
              <w:t>CESOP on Cross-Border Payments, by the General Directorate of Taxation.</w:t>
            </w:r>
          </w:p>
          <w:p w14:paraId="3486BF7E" w14:textId="56533E9D" w:rsidR="003C045B" w:rsidRPr="00AC21F0" w:rsidRDefault="003C045B" w:rsidP="006A0740">
            <w:pPr>
              <w:spacing w:line="240" w:lineRule="atLeast"/>
              <w:jc w:val="both"/>
              <w:rPr>
                <w:rFonts w:ascii="Times New Roman" w:eastAsia="Calibri" w:hAnsi="Times New Roman" w:cs="Times New Roman"/>
                <w:sz w:val="20"/>
                <w:szCs w:val="20"/>
              </w:rPr>
            </w:pPr>
          </w:p>
        </w:tc>
        <w:tc>
          <w:tcPr>
            <w:tcW w:w="720" w:type="dxa"/>
            <w:tcBorders>
              <w:bottom w:val="dashed" w:sz="4" w:space="0" w:color="auto"/>
            </w:tcBorders>
          </w:tcPr>
          <w:p w14:paraId="306D02AA" w14:textId="316F4C39" w:rsidR="003C045B" w:rsidRPr="00AC21F0" w:rsidRDefault="003C045B" w:rsidP="006A0740">
            <w:pPr>
              <w:spacing w:line="240" w:lineRule="atLeast"/>
              <w:jc w:val="center"/>
              <w:rPr>
                <w:rFonts w:ascii="Times New Roman" w:eastAsia="Calibri" w:hAnsi="Times New Roman" w:cs="Times New Roman"/>
                <w:sz w:val="20"/>
                <w:szCs w:val="20"/>
                <w:lang w:val="en-US"/>
              </w:rPr>
            </w:pPr>
            <w:r w:rsidRPr="00AC21F0">
              <w:rPr>
                <w:rFonts w:ascii="Times New Roman" w:eastAsia="Calibri" w:hAnsi="Times New Roman" w:cs="Times New Roman"/>
                <w:sz w:val="20"/>
                <w:szCs w:val="20"/>
                <w:lang w:val="en-US"/>
              </w:rPr>
              <w:lastRenderedPageBreak/>
              <w:t>F</w:t>
            </w:r>
          </w:p>
        </w:tc>
        <w:tc>
          <w:tcPr>
            <w:tcW w:w="3510" w:type="dxa"/>
            <w:tcBorders>
              <w:bottom w:val="dashed" w:sz="4" w:space="0" w:color="auto"/>
            </w:tcBorders>
          </w:tcPr>
          <w:p w14:paraId="3F0E449E" w14:textId="6FCB13F1" w:rsidR="00F4245C" w:rsidRPr="00AC21F0" w:rsidRDefault="003C045B" w:rsidP="006A0740">
            <w:pPr>
              <w:spacing w:line="240" w:lineRule="atLeast"/>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Fully compliant</w:t>
            </w:r>
            <w:r w:rsidR="00F4245C" w:rsidRPr="00AC21F0">
              <w:rPr>
                <w:rFonts w:ascii="Times New Roman" w:eastAsia="Times New Roman" w:hAnsi="Times New Roman" w:cs="Times New Roman"/>
                <w:sz w:val="20"/>
                <w:szCs w:val="20"/>
              </w:rPr>
              <w:t>.</w:t>
            </w:r>
          </w:p>
          <w:p w14:paraId="610C0EF2" w14:textId="22D17F97" w:rsidR="003C045B" w:rsidRPr="00AC21F0" w:rsidRDefault="00F4245C" w:rsidP="006A0740">
            <w:pPr>
              <w:spacing w:line="240" w:lineRule="atLeast"/>
              <w:rPr>
                <w:rFonts w:ascii="Times New Roman" w:eastAsia="Calibri" w:hAnsi="Times New Roman" w:cs="Times New Roman"/>
                <w:sz w:val="20"/>
                <w:szCs w:val="20"/>
                <w:lang w:val="en-US"/>
              </w:rPr>
            </w:pPr>
            <w:r w:rsidRPr="00AC21F0">
              <w:rPr>
                <w:rFonts w:ascii="Times New Roman" w:eastAsia="Times New Roman" w:hAnsi="Times New Roman" w:cs="Times New Roman"/>
                <w:sz w:val="20"/>
                <w:szCs w:val="20"/>
              </w:rPr>
              <w:t>Article 10 i</w:t>
            </w:r>
            <w:r w:rsidR="003C045B" w:rsidRPr="00AC21F0">
              <w:rPr>
                <w:rFonts w:ascii="Times New Roman" w:eastAsia="Times New Roman" w:hAnsi="Times New Roman" w:cs="Times New Roman"/>
                <w:sz w:val="20"/>
                <w:szCs w:val="20"/>
              </w:rPr>
              <w:t>ncludes all identifiers of the provider and beneficiary (BIC, IBAN, any unique identifier), location, transaction and refund data, origin and destination of the payment, references, information on physical payments, retention for three years and readiness for transmission to the electronic system administered by the General Directorate of Taxes.</w:t>
            </w:r>
          </w:p>
        </w:tc>
      </w:tr>
      <w:tr w:rsidR="003C045B" w:rsidRPr="00AC21F0" w14:paraId="6F670772" w14:textId="77777777" w:rsidTr="00990A3C">
        <w:trPr>
          <w:trHeight w:val="359"/>
        </w:trPr>
        <w:tc>
          <w:tcPr>
            <w:tcW w:w="540" w:type="dxa"/>
            <w:shd w:val="clear" w:color="auto" w:fill="D0CECE" w:themeFill="background2" w:themeFillShade="E6"/>
          </w:tcPr>
          <w:p w14:paraId="516FA109" w14:textId="662FCCB3"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shd w:val="clear" w:color="auto" w:fill="D0CECE" w:themeFill="background2" w:themeFillShade="E6"/>
          </w:tcPr>
          <w:p w14:paraId="14FF2EF8" w14:textId="081D46BF" w:rsidR="003C045B" w:rsidRPr="00AC21F0" w:rsidRDefault="003C045B" w:rsidP="006A0740">
            <w:pPr>
              <w:spacing w:line="240" w:lineRule="atLeast"/>
              <w:contextualSpacing/>
              <w:jc w:val="both"/>
              <w:rPr>
                <w:rFonts w:ascii="Times New Roman" w:eastAsia="Calibri" w:hAnsi="Times New Roman" w:cs="Times New Roman"/>
                <w:iCs/>
                <w:sz w:val="20"/>
                <w:szCs w:val="20"/>
                <w:lang w:val="en-US"/>
              </w:rPr>
            </w:pPr>
          </w:p>
        </w:tc>
        <w:tc>
          <w:tcPr>
            <w:tcW w:w="450" w:type="dxa"/>
            <w:shd w:val="clear" w:color="auto" w:fill="D0CECE" w:themeFill="background2" w:themeFillShade="E6"/>
          </w:tcPr>
          <w:p w14:paraId="5F89BF63" w14:textId="5780ED52" w:rsidR="003C045B" w:rsidRPr="00AC21F0" w:rsidRDefault="003C045B" w:rsidP="006A0740">
            <w:pPr>
              <w:spacing w:line="240" w:lineRule="atLeast"/>
              <w:jc w:val="center"/>
              <w:rPr>
                <w:rFonts w:ascii="Times New Roman" w:eastAsia="Calibri" w:hAnsi="Times New Roman" w:cs="Times New Roman"/>
                <w:sz w:val="20"/>
                <w:szCs w:val="20"/>
              </w:rPr>
            </w:pPr>
          </w:p>
        </w:tc>
        <w:tc>
          <w:tcPr>
            <w:tcW w:w="644" w:type="dxa"/>
            <w:shd w:val="clear" w:color="auto" w:fill="D0CECE" w:themeFill="background2" w:themeFillShade="E6"/>
          </w:tcPr>
          <w:p w14:paraId="19D19203" w14:textId="13FC777F"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5040" w:type="dxa"/>
            <w:tcBorders>
              <w:bottom w:val="dashed" w:sz="4" w:space="0" w:color="auto"/>
            </w:tcBorders>
            <w:shd w:val="clear" w:color="auto" w:fill="D0CECE" w:themeFill="background2" w:themeFillShade="E6"/>
          </w:tcPr>
          <w:p w14:paraId="72982449" w14:textId="77777777" w:rsidR="00201DBB" w:rsidRPr="00AC21F0" w:rsidRDefault="00201DBB" w:rsidP="006A0740">
            <w:pPr>
              <w:spacing w:line="240" w:lineRule="atLeast"/>
              <w:jc w:val="center"/>
              <w:rPr>
                <w:rFonts w:ascii="Times New Roman" w:eastAsia="Times New Roman" w:hAnsi="Times New Roman" w:cs="Times New Roman"/>
                <w:sz w:val="20"/>
                <w:szCs w:val="20"/>
                <w:lang w:val="sq-AL" w:eastAsia="sq-AL"/>
              </w:rPr>
            </w:pPr>
            <w:r w:rsidRPr="00AC21F0">
              <w:rPr>
                <w:rFonts w:ascii="Times New Roman" w:eastAsia="Times New Roman" w:hAnsi="Times New Roman" w:cs="Times New Roman"/>
                <w:sz w:val="20"/>
                <w:szCs w:val="20"/>
                <w:lang w:val="sq-AL" w:eastAsia="sq-AL"/>
              </w:rPr>
              <w:t>Article 11</w:t>
            </w:r>
          </w:p>
          <w:p w14:paraId="17DB30F1" w14:textId="3DF12EB1" w:rsidR="003C045B" w:rsidRPr="00AC21F0" w:rsidRDefault="00201DBB" w:rsidP="006A0740">
            <w:pPr>
              <w:widowControl w:val="0"/>
              <w:tabs>
                <w:tab w:val="left" w:pos="1464"/>
              </w:tabs>
              <w:autoSpaceDE w:val="0"/>
              <w:autoSpaceDN w:val="0"/>
              <w:spacing w:line="240" w:lineRule="atLeast"/>
              <w:jc w:val="center"/>
              <w:rPr>
                <w:rFonts w:ascii="Times New Roman" w:hAnsi="Times New Roman" w:cs="Times New Roman"/>
                <w:sz w:val="20"/>
                <w:szCs w:val="20"/>
                <w:lang w:val="en-US"/>
              </w:rPr>
            </w:pPr>
            <w:r w:rsidRPr="00AC21F0">
              <w:rPr>
                <w:rFonts w:ascii="Times New Roman" w:eastAsia="Times New Roman" w:hAnsi="Times New Roman" w:cs="Times New Roman"/>
                <w:sz w:val="20"/>
                <w:szCs w:val="20"/>
                <w:lang w:val="sq-AL" w:eastAsia="sq-AL"/>
              </w:rPr>
              <w:t xml:space="preserve">Collection and Transmission of data by the General Directorate of Taxation </w:t>
            </w:r>
          </w:p>
        </w:tc>
        <w:tc>
          <w:tcPr>
            <w:tcW w:w="720" w:type="dxa"/>
            <w:tcBorders>
              <w:bottom w:val="dashed" w:sz="4" w:space="0" w:color="auto"/>
            </w:tcBorders>
            <w:shd w:val="clear" w:color="auto" w:fill="D0CECE" w:themeFill="background2" w:themeFillShade="E6"/>
          </w:tcPr>
          <w:p w14:paraId="4EF15BB3" w14:textId="167A9313"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3510" w:type="dxa"/>
            <w:tcBorders>
              <w:bottom w:val="dashed" w:sz="4" w:space="0" w:color="auto"/>
            </w:tcBorders>
            <w:shd w:val="clear" w:color="auto" w:fill="D0CECE" w:themeFill="background2" w:themeFillShade="E6"/>
          </w:tcPr>
          <w:p w14:paraId="1C57CD2D" w14:textId="70AFF08A" w:rsidR="003C045B" w:rsidRPr="00AC21F0" w:rsidRDefault="003C045B" w:rsidP="006A0740">
            <w:pPr>
              <w:spacing w:line="240" w:lineRule="atLeast"/>
              <w:rPr>
                <w:rFonts w:ascii="Times New Roman" w:eastAsia="Calibri" w:hAnsi="Times New Roman" w:cs="Times New Roman"/>
                <w:sz w:val="20"/>
                <w:szCs w:val="20"/>
                <w:lang w:val="en-US"/>
              </w:rPr>
            </w:pPr>
          </w:p>
        </w:tc>
      </w:tr>
      <w:tr w:rsidR="003C045B" w:rsidRPr="00AC21F0" w14:paraId="71F4D229" w14:textId="77777777" w:rsidTr="004738EE">
        <w:tc>
          <w:tcPr>
            <w:tcW w:w="540" w:type="dxa"/>
          </w:tcPr>
          <w:p w14:paraId="5E9580EC" w14:textId="38D2E61A"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tcPr>
          <w:p w14:paraId="1CA8D7E5" w14:textId="77777777" w:rsidR="003C045B" w:rsidRPr="00AC21F0" w:rsidRDefault="003C045B" w:rsidP="006A0740">
            <w:pPr>
              <w:pStyle w:val="Heading2"/>
              <w:spacing w:before="0" w:after="120" w:line="240" w:lineRule="atLeast"/>
              <w:rPr>
                <w:rStyle w:val="legamendingtext"/>
                <w:rFonts w:ascii="Times New Roman" w:eastAsiaTheme="minorHAnsi" w:hAnsi="Times New Roman" w:cs="Times New Roman"/>
                <w:color w:val="000000"/>
                <w:kern w:val="2"/>
                <w:sz w:val="20"/>
                <w:szCs w:val="20"/>
                <w:lang w:val="en-US"/>
                <w14:ligatures w14:val="standardContextual"/>
              </w:rPr>
            </w:pPr>
          </w:p>
          <w:p w14:paraId="7620F9CA" w14:textId="0ABA0044" w:rsidR="003C045B" w:rsidRPr="00AC21F0" w:rsidRDefault="003C045B" w:rsidP="006A0740">
            <w:pPr>
              <w:pStyle w:val="Heading2"/>
              <w:spacing w:before="0" w:after="120" w:line="240" w:lineRule="atLeast"/>
              <w:rPr>
                <w:rFonts w:ascii="Times New Roman" w:hAnsi="Times New Roman" w:cs="Times New Roman"/>
                <w:color w:val="000000"/>
                <w:sz w:val="20"/>
                <w:szCs w:val="20"/>
              </w:rPr>
            </w:pPr>
            <w:r w:rsidRPr="00AC21F0">
              <w:rPr>
                <w:rStyle w:val="legamendingtext"/>
                <w:rFonts w:ascii="Times New Roman" w:hAnsi="Times New Roman" w:cs="Times New Roman"/>
                <w:color w:val="000000"/>
                <w:sz w:val="20"/>
                <w:szCs w:val="20"/>
              </w:rPr>
              <w:t>Article 24b</w:t>
            </w:r>
          </w:p>
          <w:p w14:paraId="6A1BB1D1" w14:textId="77777777" w:rsidR="003C045B" w:rsidRPr="00AC21F0" w:rsidRDefault="003C045B" w:rsidP="006A0740">
            <w:pPr>
              <w:pStyle w:val="legclearfix"/>
              <w:shd w:val="clear" w:color="auto" w:fill="FFFFFF"/>
              <w:spacing w:before="0" w:beforeAutospacing="0" w:after="240" w:afterAutospacing="0" w:line="240" w:lineRule="atLeast"/>
              <w:rPr>
                <w:color w:val="1E1E1E"/>
                <w:sz w:val="20"/>
                <w:szCs w:val="20"/>
              </w:rPr>
            </w:pPr>
            <w:r w:rsidRPr="00AC21F0">
              <w:rPr>
                <w:rStyle w:val="legamendingtext"/>
                <w:color w:val="1E1E1E"/>
                <w:sz w:val="20"/>
                <w:szCs w:val="20"/>
              </w:rPr>
              <w:t>1.Each Member State shall collect the information on the payees and the payments referred to in Article 243b of Directive 2006/112/EC.</w:t>
            </w:r>
          </w:p>
          <w:p w14:paraId="43818D72" w14:textId="77777777" w:rsidR="003C045B" w:rsidRPr="00AC21F0" w:rsidRDefault="003C045B" w:rsidP="006A0740">
            <w:pPr>
              <w:pStyle w:val="legrhs"/>
              <w:shd w:val="clear" w:color="auto" w:fill="FFFFFF"/>
              <w:spacing w:before="0" w:beforeAutospacing="0" w:after="240" w:afterAutospacing="0" w:line="240" w:lineRule="atLeast"/>
              <w:jc w:val="both"/>
              <w:rPr>
                <w:color w:val="1E1E1E"/>
                <w:sz w:val="20"/>
                <w:szCs w:val="20"/>
              </w:rPr>
            </w:pPr>
            <w:r w:rsidRPr="00AC21F0">
              <w:rPr>
                <w:rStyle w:val="legamendingtext"/>
                <w:color w:val="1E1E1E"/>
                <w:sz w:val="20"/>
                <w:szCs w:val="20"/>
              </w:rPr>
              <w:t>Each Member State shall collect the information referred to in the first subparagraph from payment service providers:</w:t>
            </w:r>
          </w:p>
          <w:p w14:paraId="5C1C252E" w14:textId="77777777" w:rsidR="003C045B" w:rsidRPr="00AC21F0" w:rsidRDefault="003C045B" w:rsidP="006A0740">
            <w:pPr>
              <w:pStyle w:val="legclearfix"/>
              <w:shd w:val="clear" w:color="auto" w:fill="FFFFFF"/>
              <w:spacing w:before="0" w:beforeAutospacing="0" w:after="240" w:afterAutospacing="0" w:line="240" w:lineRule="atLeast"/>
              <w:rPr>
                <w:color w:val="1E1E1E"/>
                <w:sz w:val="20"/>
                <w:szCs w:val="20"/>
              </w:rPr>
            </w:pPr>
            <w:r w:rsidRPr="00AC21F0">
              <w:rPr>
                <w:rStyle w:val="legamendingtext"/>
                <w:color w:val="1E1E1E"/>
                <w:sz w:val="20"/>
                <w:szCs w:val="20"/>
              </w:rPr>
              <w:t>(a)no later than by the end of the month following the calendar quarter to which the information relates;</w:t>
            </w:r>
          </w:p>
          <w:p w14:paraId="3ECB3C96" w14:textId="77777777" w:rsidR="003C045B" w:rsidRPr="00AC21F0" w:rsidRDefault="003C045B" w:rsidP="006A0740">
            <w:pPr>
              <w:pStyle w:val="legclearfix"/>
              <w:shd w:val="clear" w:color="auto" w:fill="FFFFFF"/>
              <w:spacing w:before="0" w:beforeAutospacing="0" w:after="240" w:afterAutospacing="0" w:line="240" w:lineRule="atLeast"/>
              <w:rPr>
                <w:color w:val="1E1E1E"/>
                <w:sz w:val="20"/>
                <w:szCs w:val="20"/>
              </w:rPr>
            </w:pPr>
            <w:r w:rsidRPr="00AC21F0">
              <w:rPr>
                <w:rStyle w:val="legamendingtext"/>
                <w:color w:val="1E1E1E"/>
                <w:sz w:val="20"/>
                <w:szCs w:val="20"/>
              </w:rPr>
              <w:t>(b)by means of an electronic standard form.</w:t>
            </w:r>
          </w:p>
          <w:p w14:paraId="15E02F65" w14:textId="77777777" w:rsidR="003C045B" w:rsidRPr="00AC21F0" w:rsidRDefault="003C045B" w:rsidP="006A0740">
            <w:pPr>
              <w:pStyle w:val="legclearfix"/>
              <w:shd w:val="clear" w:color="auto" w:fill="FFFFFF"/>
              <w:spacing w:before="0" w:beforeAutospacing="0" w:after="240" w:afterAutospacing="0" w:line="240" w:lineRule="atLeast"/>
              <w:rPr>
                <w:color w:val="1E1E1E"/>
                <w:sz w:val="20"/>
                <w:szCs w:val="20"/>
              </w:rPr>
            </w:pPr>
            <w:r w:rsidRPr="00AC21F0">
              <w:rPr>
                <w:rStyle w:val="legamendingtext"/>
                <w:color w:val="1E1E1E"/>
                <w:sz w:val="20"/>
                <w:szCs w:val="20"/>
              </w:rPr>
              <w:t>2.Each Member State may store the information collected in accordance with paragraph 1 in a national electronic system.</w:t>
            </w:r>
          </w:p>
          <w:p w14:paraId="5486F48E" w14:textId="77777777" w:rsidR="003C045B" w:rsidRPr="00AC21F0" w:rsidRDefault="003C045B" w:rsidP="006A0740">
            <w:pPr>
              <w:pStyle w:val="legclearfix"/>
              <w:shd w:val="clear" w:color="auto" w:fill="FFFFFF"/>
              <w:spacing w:before="0" w:beforeAutospacing="0" w:after="240" w:afterAutospacing="0" w:line="240" w:lineRule="atLeast"/>
              <w:rPr>
                <w:color w:val="1E1E1E"/>
                <w:sz w:val="20"/>
                <w:szCs w:val="20"/>
              </w:rPr>
            </w:pPr>
            <w:r w:rsidRPr="00AC21F0">
              <w:rPr>
                <w:rStyle w:val="legamendingtext"/>
                <w:color w:val="1E1E1E"/>
                <w:sz w:val="20"/>
                <w:szCs w:val="20"/>
              </w:rPr>
              <w:t xml:space="preserve">3.The central liaison office, or the liaison departments or competent officials designated by the competent authority of each Member State, shall transmit to CESOP the information </w:t>
            </w:r>
            <w:r w:rsidRPr="00AC21F0">
              <w:rPr>
                <w:rStyle w:val="legamendingtext"/>
                <w:color w:val="1E1E1E"/>
                <w:sz w:val="20"/>
                <w:szCs w:val="20"/>
              </w:rPr>
              <w:lastRenderedPageBreak/>
              <w:t>collected in accordance with paragraph 1 no later than the tenth day of the second month following the calendar quarter to which the information relates.</w:t>
            </w:r>
          </w:p>
          <w:p w14:paraId="287FB5C7" w14:textId="21FCB10D" w:rsidR="003C045B" w:rsidRPr="00AC21F0" w:rsidRDefault="003C045B" w:rsidP="006A0740">
            <w:pPr>
              <w:spacing w:line="240" w:lineRule="atLeast"/>
              <w:jc w:val="both"/>
              <w:rPr>
                <w:rFonts w:ascii="Times New Roman" w:eastAsia="Calibri" w:hAnsi="Times New Roman" w:cs="Times New Roman"/>
                <w:iCs/>
                <w:sz w:val="20"/>
                <w:szCs w:val="20"/>
                <w:lang w:val="en-US"/>
              </w:rPr>
            </w:pPr>
          </w:p>
        </w:tc>
        <w:tc>
          <w:tcPr>
            <w:tcW w:w="450" w:type="dxa"/>
          </w:tcPr>
          <w:p w14:paraId="4801E7A0" w14:textId="1D4E9A6D" w:rsidR="003C045B" w:rsidRPr="00AC21F0" w:rsidRDefault="003C045B" w:rsidP="006A0740">
            <w:pPr>
              <w:spacing w:line="240" w:lineRule="atLeast"/>
              <w:jc w:val="center"/>
              <w:rPr>
                <w:rFonts w:ascii="Times New Roman" w:eastAsia="Calibri" w:hAnsi="Times New Roman" w:cs="Times New Roman"/>
                <w:sz w:val="20"/>
                <w:szCs w:val="20"/>
              </w:rPr>
            </w:pPr>
          </w:p>
        </w:tc>
        <w:tc>
          <w:tcPr>
            <w:tcW w:w="644" w:type="dxa"/>
          </w:tcPr>
          <w:p w14:paraId="6BB648EA" w14:textId="7F0927F3"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5040" w:type="dxa"/>
          </w:tcPr>
          <w:p w14:paraId="234CB12A" w14:textId="1C6BD863" w:rsidR="00E1458D" w:rsidRPr="00AC21F0" w:rsidRDefault="00E1458D" w:rsidP="006A0740">
            <w:pPr>
              <w:spacing w:line="240" w:lineRule="atLeast"/>
              <w:jc w:val="both"/>
              <w:rPr>
                <w:rFonts w:ascii="Times New Roman" w:eastAsia="Times New Roman" w:hAnsi="Times New Roman" w:cs="Times New Roman"/>
                <w:sz w:val="20"/>
                <w:szCs w:val="20"/>
              </w:rPr>
            </w:pPr>
          </w:p>
          <w:p w14:paraId="4F92ED84" w14:textId="2135E6E1" w:rsidR="00201DBB" w:rsidRPr="00AC21F0" w:rsidRDefault="00201DBB" w:rsidP="006A0740">
            <w:pPr>
              <w:spacing w:line="240" w:lineRule="atLeast"/>
              <w:jc w:val="both"/>
              <w:rPr>
                <w:rFonts w:ascii="Times New Roman" w:eastAsia="Times New Roman" w:hAnsi="Times New Roman" w:cs="Times New Roman"/>
                <w:sz w:val="20"/>
                <w:szCs w:val="20"/>
                <w:lang w:val="sq-AL" w:eastAsia="sq-AL"/>
              </w:rPr>
            </w:pPr>
            <w:r w:rsidRPr="00AC21F0">
              <w:rPr>
                <w:rFonts w:ascii="Times New Roman" w:eastAsia="Times New Roman" w:hAnsi="Times New Roman" w:cs="Times New Roman"/>
                <w:sz w:val="20"/>
                <w:szCs w:val="20"/>
                <w:lang w:val="sq-AL" w:eastAsia="sq-AL"/>
              </w:rPr>
              <w:t>1.</w:t>
            </w:r>
            <w:r w:rsidRPr="00AC21F0">
              <w:rPr>
                <w:rFonts w:ascii="Times New Roman" w:eastAsia="Times New Roman" w:hAnsi="Times New Roman" w:cs="Times New Roman"/>
                <w:sz w:val="20"/>
                <w:szCs w:val="20"/>
                <w:lang w:val="sq-AL" w:eastAsia="sq-AL"/>
              </w:rPr>
              <w:tab/>
              <w:t xml:space="preserve">The General Directorate of Taxation shall collect the information reported by payment service providers through a standard electronic form, provided in Annex II to Commission Implementing Regulation (EU) </w:t>
            </w:r>
            <w:r w:rsidR="00BF1CFB" w:rsidRPr="00AC21F0">
              <w:rPr>
                <w:rFonts w:ascii="Times New Roman" w:eastAsia="Times New Roman" w:hAnsi="Times New Roman" w:cs="Times New Roman"/>
                <w:sz w:val="20"/>
                <w:szCs w:val="20"/>
                <w:lang w:val="sq-AL" w:eastAsia="sq-AL"/>
              </w:rPr>
              <w:t xml:space="preserve">no </w:t>
            </w:r>
            <w:r w:rsidRPr="00AC21F0">
              <w:rPr>
                <w:rFonts w:ascii="Times New Roman" w:eastAsia="Times New Roman" w:hAnsi="Times New Roman" w:cs="Times New Roman"/>
                <w:sz w:val="20"/>
                <w:szCs w:val="20"/>
                <w:lang w:val="sq-AL" w:eastAsia="sq-AL"/>
              </w:rPr>
              <w:t xml:space="preserve">2022/1504. </w:t>
            </w:r>
          </w:p>
          <w:p w14:paraId="52AECB6D" w14:textId="77777777" w:rsidR="00201DBB" w:rsidRPr="00AC21F0" w:rsidRDefault="00201DBB" w:rsidP="006A0740">
            <w:pPr>
              <w:spacing w:line="240" w:lineRule="atLeast"/>
              <w:jc w:val="both"/>
              <w:rPr>
                <w:rFonts w:ascii="Times New Roman" w:eastAsia="Times New Roman" w:hAnsi="Times New Roman" w:cs="Times New Roman"/>
                <w:sz w:val="20"/>
                <w:szCs w:val="20"/>
                <w:lang w:val="sq-AL" w:eastAsia="sq-AL"/>
              </w:rPr>
            </w:pPr>
          </w:p>
          <w:p w14:paraId="611E2320" w14:textId="17EC9332" w:rsidR="003C045B" w:rsidRPr="00AC21F0" w:rsidRDefault="00201DBB" w:rsidP="006A0740">
            <w:pPr>
              <w:spacing w:line="240" w:lineRule="atLeast"/>
              <w:jc w:val="both"/>
              <w:rPr>
                <w:rFonts w:ascii="Times New Roman" w:eastAsia="Calibri" w:hAnsi="Times New Roman" w:cs="Times New Roman"/>
                <w:sz w:val="20"/>
                <w:szCs w:val="20"/>
                <w:lang w:val="sq-AL"/>
              </w:rPr>
            </w:pPr>
            <w:r w:rsidRPr="00AC21F0">
              <w:rPr>
                <w:rFonts w:ascii="Times New Roman" w:eastAsia="Times New Roman" w:hAnsi="Times New Roman" w:cs="Times New Roman"/>
                <w:sz w:val="20"/>
                <w:szCs w:val="20"/>
                <w:lang w:val="sq-AL" w:eastAsia="sq-AL"/>
              </w:rPr>
              <w:t>2.</w:t>
            </w:r>
            <w:r w:rsidRPr="00AC21F0">
              <w:rPr>
                <w:rFonts w:ascii="Times New Roman" w:eastAsia="Times New Roman" w:hAnsi="Times New Roman" w:cs="Times New Roman"/>
                <w:sz w:val="20"/>
                <w:szCs w:val="20"/>
                <w:lang w:val="sq-AL" w:eastAsia="sq-AL"/>
              </w:rPr>
              <w:tab/>
              <w:t>The information collected under p</w:t>
            </w:r>
            <w:r w:rsidR="009A386A" w:rsidRPr="00AC21F0">
              <w:rPr>
                <w:rFonts w:ascii="Times New Roman" w:eastAsia="Times New Roman" w:hAnsi="Times New Roman" w:cs="Times New Roman"/>
                <w:sz w:val="20"/>
                <w:szCs w:val="20"/>
                <w:lang w:val="sq-AL" w:eastAsia="sq-AL"/>
              </w:rPr>
              <w:t>oint</w:t>
            </w:r>
            <w:r w:rsidRPr="00AC21F0">
              <w:rPr>
                <w:rFonts w:ascii="Times New Roman" w:eastAsia="Times New Roman" w:hAnsi="Times New Roman" w:cs="Times New Roman"/>
                <w:sz w:val="20"/>
                <w:szCs w:val="20"/>
                <w:lang w:val="sq-AL" w:eastAsia="sq-AL"/>
              </w:rPr>
              <w:t xml:space="preserve"> 1 of this Article shall be transmitted to CESOP by the competent authority no later than by the tenth day of the second month following the end of the reporting calendar quarter, automatically and in the standard format as defined to in p</w:t>
            </w:r>
            <w:r w:rsidR="009A386A" w:rsidRPr="00AC21F0">
              <w:rPr>
                <w:rFonts w:ascii="Times New Roman" w:eastAsia="Times New Roman" w:hAnsi="Times New Roman" w:cs="Times New Roman"/>
                <w:sz w:val="20"/>
                <w:szCs w:val="20"/>
                <w:lang w:val="sq-AL" w:eastAsia="sq-AL"/>
              </w:rPr>
              <w:t>oint</w:t>
            </w:r>
            <w:r w:rsidRPr="00AC21F0">
              <w:rPr>
                <w:rFonts w:ascii="Times New Roman" w:eastAsia="Times New Roman" w:hAnsi="Times New Roman" w:cs="Times New Roman"/>
                <w:sz w:val="20"/>
                <w:szCs w:val="20"/>
                <w:lang w:val="sq-AL" w:eastAsia="sq-AL"/>
              </w:rPr>
              <w:t xml:space="preserve"> 1 of this Article.</w:t>
            </w:r>
          </w:p>
        </w:tc>
        <w:tc>
          <w:tcPr>
            <w:tcW w:w="720" w:type="dxa"/>
          </w:tcPr>
          <w:p w14:paraId="5C366860" w14:textId="0436A09B" w:rsidR="003C045B" w:rsidRPr="00AC21F0" w:rsidRDefault="003C045B" w:rsidP="006A0740">
            <w:pPr>
              <w:spacing w:line="240" w:lineRule="atLeast"/>
              <w:jc w:val="center"/>
              <w:rPr>
                <w:rFonts w:ascii="Times New Roman" w:eastAsia="Calibri" w:hAnsi="Times New Roman" w:cs="Times New Roman"/>
                <w:sz w:val="20"/>
                <w:szCs w:val="20"/>
                <w:lang w:val="en-US"/>
              </w:rPr>
            </w:pPr>
            <w:r w:rsidRPr="00AC21F0">
              <w:rPr>
                <w:rFonts w:ascii="Times New Roman" w:eastAsia="Calibri" w:hAnsi="Times New Roman" w:cs="Times New Roman"/>
                <w:sz w:val="20"/>
                <w:szCs w:val="20"/>
                <w:lang w:val="en-US"/>
              </w:rPr>
              <w:t>F</w:t>
            </w:r>
          </w:p>
        </w:tc>
        <w:tc>
          <w:tcPr>
            <w:tcW w:w="3510" w:type="dxa"/>
          </w:tcPr>
          <w:p w14:paraId="56F865A3" w14:textId="408A8BF4" w:rsidR="0009621F" w:rsidRPr="00AC21F0" w:rsidRDefault="0009621F" w:rsidP="006A0740">
            <w:pPr>
              <w:spacing w:line="240" w:lineRule="atLeast"/>
              <w:rPr>
                <w:rFonts w:ascii="Times New Roman" w:hAnsi="Times New Roman" w:cs="Times New Roman"/>
                <w:color w:val="000000" w:themeColor="text1"/>
                <w:sz w:val="20"/>
                <w:szCs w:val="20"/>
              </w:rPr>
            </w:pPr>
            <w:r w:rsidRPr="00AC21F0">
              <w:rPr>
                <w:rFonts w:ascii="Times New Roman" w:hAnsi="Times New Roman" w:cs="Times New Roman"/>
                <w:color w:val="000000" w:themeColor="text1"/>
                <w:sz w:val="20"/>
                <w:szCs w:val="20"/>
              </w:rPr>
              <w:t>Compliant.</w:t>
            </w:r>
          </w:p>
          <w:p w14:paraId="0587144A" w14:textId="77777777" w:rsidR="0009621F" w:rsidRPr="00AC21F0" w:rsidRDefault="0009621F" w:rsidP="006A0740">
            <w:pPr>
              <w:spacing w:line="240" w:lineRule="atLeast"/>
              <w:rPr>
                <w:rFonts w:ascii="Times New Roman" w:hAnsi="Times New Roman" w:cs="Times New Roman"/>
                <w:color w:val="000000" w:themeColor="text1"/>
                <w:sz w:val="20"/>
                <w:szCs w:val="20"/>
              </w:rPr>
            </w:pPr>
          </w:p>
          <w:p w14:paraId="547CF5C3" w14:textId="1E27D9D2" w:rsidR="003C045B" w:rsidRPr="00AC21F0" w:rsidRDefault="0009621F" w:rsidP="006A0740">
            <w:pPr>
              <w:spacing w:line="240" w:lineRule="atLeast"/>
              <w:rPr>
                <w:rFonts w:ascii="Times New Roman" w:hAnsi="Times New Roman" w:cs="Times New Roman"/>
                <w:color w:val="000000" w:themeColor="text1"/>
                <w:sz w:val="20"/>
                <w:szCs w:val="20"/>
              </w:rPr>
            </w:pPr>
            <w:r w:rsidRPr="00AC21F0">
              <w:rPr>
                <w:rFonts w:ascii="Times New Roman" w:hAnsi="Times New Roman" w:cs="Times New Roman"/>
                <w:color w:val="000000" w:themeColor="text1"/>
                <w:sz w:val="20"/>
                <w:szCs w:val="20"/>
              </w:rPr>
              <w:t>T</w:t>
            </w:r>
            <w:r w:rsidR="003C045B" w:rsidRPr="00AC21F0">
              <w:rPr>
                <w:rFonts w:ascii="Times New Roman" w:hAnsi="Times New Roman" w:cs="Times New Roman"/>
                <w:color w:val="000000" w:themeColor="text1"/>
                <w:sz w:val="20"/>
                <w:szCs w:val="20"/>
              </w:rPr>
              <w:t>h</w:t>
            </w:r>
            <w:r w:rsidR="00E1458D" w:rsidRPr="00AC21F0">
              <w:rPr>
                <w:rFonts w:ascii="Times New Roman" w:hAnsi="Times New Roman" w:cs="Times New Roman"/>
                <w:color w:val="000000" w:themeColor="text1"/>
                <w:sz w:val="20"/>
                <w:szCs w:val="20"/>
              </w:rPr>
              <w:t>is</w:t>
            </w:r>
            <w:r w:rsidR="003C045B" w:rsidRPr="00AC21F0">
              <w:rPr>
                <w:rFonts w:ascii="Times New Roman" w:hAnsi="Times New Roman" w:cs="Times New Roman"/>
                <w:color w:val="000000" w:themeColor="text1"/>
                <w:sz w:val="20"/>
                <w:szCs w:val="20"/>
              </w:rPr>
              <w:t xml:space="preserve"> article is </w:t>
            </w:r>
            <w:r w:rsidR="003C045B" w:rsidRPr="00AC21F0">
              <w:rPr>
                <w:rStyle w:val="Strong"/>
                <w:rFonts w:ascii="Times New Roman" w:hAnsi="Times New Roman" w:cs="Times New Roman"/>
                <w:b w:val="0"/>
                <w:bCs w:val="0"/>
                <w:color w:val="000000" w:themeColor="text1"/>
                <w:sz w:val="20"/>
                <w:szCs w:val="20"/>
              </w:rPr>
              <w:t>fully compliant</w:t>
            </w:r>
            <w:r w:rsidR="003C045B" w:rsidRPr="00AC21F0">
              <w:rPr>
                <w:rFonts w:ascii="Times New Roman" w:hAnsi="Times New Roman" w:cs="Times New Roman"/>
                <w:color w:val="000000" w:themeColor="text1"/>
                <w:sz w:val="20"/>
                <w:szCs w:val="20"/>
              </w:rPr>
              <w:t xml:space="preserve"> with Article 24/b of Council Regulation No. 2020/283, as it includes both the deadlines and the automatic manner of data transmission in the standard format determined by the European Commission.</w:t>
            </w:r>
          </w:p>
          <w:p w14:paraId="0E5DD6CD" w14:textId="77777777" w:rsidR="0009621F" w:rsidRPr="00AC21F0" w:rsidRDefault="0009621F" w:rsidP="006A0740">
            <w:pPr>
              <w:spacing w:line="240" w:lineRule="atLeast"/>
              <w:rPr>
                <w:rStyle w:val="legamendingtext"/>
                <w:rFonts w:ascii="Times New Roman" w:hAnsi="Times New Roman" w:cs="Times New Roman"/>
                <w:color w:val="1E1E1E"/>
                <w:sz w:val="20"/>
                <w:szCs w:val="20"/>
              </w:rPr>
            </w:pPr>
          </w:p>
          <w:p w14:paraId="2C4BC5ED" w14:textId="4AED5835" w:rsidR="00E1458D" w:rsidRPr="00AC21F0" w:rsidRDefault="00E1458D" w:rsidP="006A0740">
            <w:pPr>
              <w:spacing w:line="240" w:lineRule="atLeast"/>
              <w:rPr>
                <w:rFonts w:ascii="Times New Roman" w:eastAsia="Calibri" w:hAnsi="Times New Roman" w:cs="Times New Roman"/>
                <w:sz w:val="20"/>
                <w:szCs w:val="20"/>
                <w:lang w:val="en-US"/>
              </w:rPr>
            </w:pPr>
            <w:r w:rsidRPr="00AC21F0">
              <w:rPr>
                <w:rStyle w:val="legamendingtext"/>
                <w:rFonts w:ascii="Times New Roman" w:hAnsi="Times New Roman" w:cs="Times New Roman"/>
                <w:color w:val="1E1E1E"/>
                <w:sz w:val="20"/>
                <w:szCs w:val="20"/>
              </w:rPr>
              <w:t xml:space="preserve">According to point 3 of article 24b and point 2 of article 11 of albanina law, the Director of the </w:t>
            </w:r>
            <w:r w:rsidRPr="00AC21F0">
              <w:rPr>
                <w:rFonts w:ascii="Times New Roman" w:eastAsia="Times New Roman" w:hAnsi="Times New Roman" w:cs="Times New Roman"/>
                <w:sz w:val="20"/>
                <w:szCs w:val="20"/>
              </w:rPr>
              <w:t xml:space="preserve">General Directorate of Taxation will </w:t>
            </w:r>
            <w:r w:rsidRPr="00AC21F0">
              <w:rPr>
                <w:rStyle w:val="legamendingtext"/>
                <w:rFonts w:ascii="Times New Roman" w:hAnsi="Times New Roman" w:cs="Times New Roman"/>
                <w:color w:val="1E1E1E"/>
                <w:sz w:val="20"/>
                <w:szCs w:val="20"/>
              </w:rPr>
              <w:t>designated</w:t>
            </w:r>
            <w:r w:rsidRPr="00AC21F0">
              <w:rPr>
                <w:rFonts w:ascii="Times New Roman" w:eastAsia="Times New Roman" w:hAnsi="Times New Roman" w:cs="Times New Roman"/>
                <w:sz w:val="20"/>
                <w:szCs w:val="20"/>
              </w:rPr>
              <w:t xml:space="preserve"> the </w:t>
            </w:r>
            <w:r w:rsidRPr="00AC21F0">
              <w:rPr>
                <w:rStyle w:val="legamendingtext"/>
                <w:rFonts w:ascii="Times New Roman" w:hAnsi="Times New Roman" w:cs="Times New Roman"/>
                <w:color w:val="1E1E1E"/>
                <w:sz w:val="20"/>
                <w:szCs w:val="20"/>
              </w:rPr>
              <w:t>competent officials  for this purpose.</w:t>
            </w:r>
          </w:p>
        </w:tc>
      </w:tr>
      <w:tr w:rsidR="003C045B" w:rsidRPr="00AC21F0" w14:paraId="5E2E0282" w14:textId="77777777" w:rsidTr="00990A3C">
        <w:tc>
          <w:tcPr>
            <w:tcW w:w="540" w:type="dxa"/>
            <w:shd w:val="clear" w:color="auto" w:fill="D0CECE" w:themeFill="background2" w:themeFillShade="E6"/>
          </w:tcPr>
          <w:p w14:paraId="582F7085" w14:textId="1A5C7A5D"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shd w:val="clear" w:color="auto" w:fill="D0CECE" w:themeFill="background2" w:themeFillShade="E6"/>
          </w:tcPr>
          <w:p w14:paraId="2EFC8173" w14:textId="064AFFBB" w:rsidR="003C045B" w:rsidRPr="00AC21F0" w:rsidRDefault="003C045B" w:rsidP="006A0740">
            <w:pPr>
              <w:spacing w:line="240" w:lineRule="atLeast"/>
              <w:jc w:val="both"/>
              <w:rPr>
                <w:rFonts w:ascii="Times New Roman" w:eastAsia="Calibri" w:hAnsi="Times New Roman" w:cs="Times New Roman"/>
                <w:iCs/>
                <w:sz w:val="20"/>
                <w:szCs w:val="20"/>
                <w:lang w:val="en-US"/>
              </w:rPr>
            </w:pPr>
            <w:r w:rsidRPr="00AC21F0">
              <w:rPr>
                <w:rFonts w:ascii="Times New Roman" w:hAnsi="Times New Roman" w:cs="Times New Roman"/>
                <w:sz w:val="20"/>
                <w:szCs w:val="20"/>
              </w:rPr>
              <w:t>Article 7 Roles and responsibilities of the controllers and the processor</w:t>
            </w:r>
          </w:p>
        </w:tc>
        <w:tc>
          <w:tcPr>
            <w:tcW w:w="450" w:type="dxa"/>
            <w:shd w:val="clear" w:color="auto" w:fill="D0CECE" w:themeFill="background2" w:themeFillShade="E6"/>
          </w:tcPr>
          <w:p w14:paraId="3AAE473A" w14:textId="129A5E5C" w:rsidR="003C045B" w:rsidRPr="00AC21F0" w:rsidRDefault="003C045B" w:rsidP="006A0740">
            <w:pPr>
              <w:spacing w:line="240" w:lineRule="atLeast"/>
              <w:jc w:val="center"/>
              <w:rPr>
                <w:rFonts w:ascii="Times New Roman" w:eastAsia="Calibri" w:hAnsi="Times New Roman" w:cs="Times New Roman"/>
                <w:sz w:val="20"/>
                <w:szCs w:val="20"/>
              </w:rPr>
            </w:pPr>
          </w:p>
        </w:tc>
        <w:tc>
          <w:tcPr>
            <w:tcW w:w="644" w:type="dxa"/>
            <w:shd w:val="clear" w:color="auto" w:fill="D0CECE" w:themeFill="background2" w:themeFillShade="E6"/>
          </w:tcPr>
          <w:p w14:paraId="76B7B6B8" w14:textId="3A7AC312"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5040" w:type="dxa"/>
            <w:shd w:val="clear" w:color="auto" w:fill="D0CECE" w:themeFill="background2" w:themeFillShade="E6"/>
          </w:tcPr>
          <w:p w14:paraId="03F3FC2C" w14:textId="77777777" w:rsidR="00201DBB" w:rsidRPr="00AC21F0" w:rsidRDefault="00201DBB" w:rsidP="006A0740">
            <w:pPr>
              <w:spacing w:line="240" w:lineRule="atLeast"/>
              <w:jc w:val="center"/>
              <w:rPr>
                <w:rFonts w:ascii="Times New Roman" w:hAnsi="Times New Roman" w:cs="Times New Roman"/>
                <w:sz w:val="20"/>
                <w:szCs w:val="20"/>
              </w:rPr>
            </w:pPr>
          </w:p>
          <w:p w14:paraId="5D46E91B" w14:textId="77777777" w:rsidR="00931B73" w:rsidRPr="00AC21F0" w:rsidRDefault="00931B73" w:rsidP="006A0740">
            <w:pPr>
              <w:spacing w:line="240" w:lineRule="atLeast"/>
              <w:jc w:val="center"/>
              <w:rPr>
                <w:rFonts w:ascii="Times New Roman" w:hAnsi="Times New Roman" w:cs="Times New Roman"/>
                <w:sz w:val="20"/>
                <w:szCs w:val="20"/>
              </w:rPr>
            </w:pPr>
            <w:r w:rsidRPr="00AC21F0">
              <w:rPr>
                <w:rFonts w:ascii="Times New Roman" w:hAnsi="Times New Roman" w:cs="Times New Roman"/>
                <w:sz w:val="20"/>
                <w:szCs w:val="20"/>
              </w:rPr>
              <w:t>Article 12</w:t>
            </w:r>
          </w:p>
          <w:p w14:paraId="04699F08" w14:textId="77777777" w:rsidR="00931B73" w:rsidRPr="00AC21F0" w:rsidRDefault="00931B73" w:rsidP="006A0740">
            <w:pPr>
              <w:spacing w:line="240" w:lineRule="atLeast"/>
              <w:jc w:val="center"/>
              <w:rPr>
                <w:rFonts w:ascii="Times New Roman" w:hAnsi="Times New Roman" w:cs="Times New Roman"/>
                <w:sz w:val="20"/>
                <w:szCs w:val="20"/>
              </w:rPr>
            </w:pPr>
          </w:p>
          <w:p w14:paraId="770B5F4C" w14:textId="596A94FF" w:rsidR="003C045B" w:rsidRPr="00AC21F0" w:rsidRDefault="00931B73" w:rsidP="006A0740">
            <w:pPr>
              <w:spacing w:line="240" w:lineRule="atLeast"/>
              <w:jc w:val="center"/>
              <w:rPr>
                <w:rFonts w:ascii="Times New Roman" w:eastAsia="Calibri" w:hAnsi="Times New Roman" w:cs="Times New Roman"/>
                <w:sz w:val="20"/>
                <w:szCs w:val="20"/>
                <w:highlight w:val="green"/>
                <w:lang w:val="en-US"/>
              </w:rPr>
            </w:pPr>
            <w:r w:rsidRPr="00AC21F0">
              <w:rPr>
                <w:rFonts w:ascii="Times New Roman" w:hAnsi="Times New Roman" w:cs="Times New Roman"/>
                <w:sz w:val="20"/>
                <w:szCs w:val="20"/>
              </w:rPr>
              <w:t>Storage and use of data by the General Directorate of Taxation</w:t>
            </w:r>
          </w:p>
        </w:tc>
        <w:tc>
          <w:tcPr>
            <w:tcW w:w="720" w:type="dxa"/>
            <w:shd w:val="clear" w:color="auto" w:fill="D0CECE" w:themeFill="background2" w:themeFillShade="E6"/>
          </w:tcPr>
          <w:p w14:paraId="0A53E2B2" w14:textId="0DD25647"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3510" w:type="dxa"/>
            <w:shd w:val="clear" w:color="auto" w:fill="D0CECE" w:themeFill="background2" w:themeFillShade="E6"/>
          </w:tcPr>
          <w:p w14:paraId="772B9632" w14:textId="77777777" w:rsidR="003C045B" w:rsidRPr="00AC21F0" w:rsidRDefault="003C045B" w:rsidP="006A0740">
            <w:pPr>
              <w:spacing w:line="240" w:lineRule="atLeast"/>
              <w:rPr>
                <w:rFonts w:ascii="Times New Roman" w:eastAsia="Calibri" w:hAnsi="Times New Roman" w:cs="Times New Roman"/>
                <w:sz w:val="20"/>
                <w:szCs w:val="20"/>
                <w:lang w:val="en-US"/>
              </w:rPr>
            </w:pPr>
          </w:p>
        </w:tc>
      </w:tr>
      <w:tr w:rsidR="003C045B" w:rsidRPr="00AC21F0" w14:paraId="4C9F021D" w14:textId="77777777" w:rsidTr="004738EE">
        <w:tc>
          <w:tcPr>
            <w:tcW w:w="540" w:type="dxa"/>
          </w:tcPr>
          <w:p w14:paraId="2623294B" w14:textId="316FAF13"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vMerge w:val="restart"/>
          </w:tcPr>
          <w:p w14:paraId="3460FF8D" w14:textId="77777777" w:rsidR="003C045B" w:rsidRPr="00AC21F0" w:rsidRDefault="003C045B" w:rsidP="006A0740">
            <w:pPr>
              <w:shd w:val="clear" w:color="auto" w:fill="FFFFFF"/>
              <w:spacing w:before="120" w:line="240" w:lineRule="atLeast"/>
              <w:jc w:val="both"/>
              <w:rPr>
                <w:rFonts w:ascii="Times New Roman" w:eastAsia="Times New Roman" w:hAnsi="Times New Roman" w:cs="Times New Roman"/>
                <w:color w:val="000000"/>
                <w:sz w:val="20"/>
                <w:szCs w:val="20"/>
              </w:rPr>
            </w:pPr>
            <w:r w:rsidRPr="00AC21F0">
              <w:rPr>
                <w:rFonts w:ascii="Times New Roman" w:eastAsia="Times New Roman" w:hAnsi="Times New Roman" w:cs="Times New Roman"/>
                <w:color w:val="000000"/>
                <w:sz w:val="20"/>
                <w:szCs w:val="20"/>
              </w:rPr>
              <w:t>1.   Member States shall jointly be controllers, as defined in Article 4, point (7), of Regulation (EU) 2016/679, of CESOP. The responsibilities of the controllers of CESOP shall be determined in an agreement between the controllers, which shall set out the rules for the exercise of rights of the data subject and their duties in relation to the provision of the information referred to in Article 13 and 14 of Regulation (EU) 2016/679.</w:t>
            </w:r>
          </w:p>
          <w:p w14:paraId="083882F1" w14:textId="77777777" w:rsidR="003C045B" w:rsidRPr="00AC21F0" w:rsidRDefault="003C045B" w:rsidP="006A0740">
            <w:pPr>
              <w:shd w:val="clear" w:color="auto" w:fill="FFFFFF"/>
              <w:spacing w:before="120" w:line="240" w:lineRule="atLeast"/>
              <w:jc w:val="both"/>
              <w:rPr>
                <w:rFonts w:ascii="Times New Roman" w:eastAsia="Times New Roman" w:hAnsi="Times New Roman" w:cs="Times New Roman"/>
                <w:color w:val="000000"/>
                <w:sz w:val="20"/>
                <w:szCs w:val="20"/>
              </w:rPr>
            </w:pPr>
            <w:r w:rsidRPr="00AC21F0">
              <w:rPr>
                <w:rFonts w:ascii="Times New Roman" w:eastAsia="Times New Roman" w:hAnsi="Times New Roman" w:cs="Times New Roman"/>
                <w:color w:val="000000"/>
                <w:sz w:val="20"/>
                <w:szCs w:val="20"/>
              </w:rPr>
              <w:t>Member States shall be responsible for the following:</w:t>
            </w:r>
          </w:p>
          <w:tbl>
            <w:tblPr>
              <w:tblW w:w="5000" w:type="pct"/>
              <w:tblLayout w:type="fixed"/>
              <w:tblCellMar>
                <w:left w:w="0" w:type="dxa"/>
                <w:right w:w="0" w:type="dxa"/>
              </w:tblCellMar>
              <w:tblLook w:val="04A0" w:firstRow="1" w:lastRow="0" w:firstColumn="1" w:lastColumn="0" w:noHBand="0" w:noVBand="1"/>
            </w:tblPr>
            <w:tblGrid>
              <w:gridCol w:w="175"/>
              <w:gridCol w:w="5009"/>
            </w:tblGrid>
            <w:tr w:rsidR="003C045B" w:rsidRPr="00AC21F0" w14:paraId="624F36EA" w14:textId="77777777" w:rsidTr="0071079D">
              <w:tc>
                <w:tcPr>
                  <w:tcW w:w="301" w:type="dxa"/>
                  <w:hideMark/>
                </w:tcPr>
                <w:p w14:paraId="7B040C4C"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(a)</w:t>
                  </w:r>
                </w:p>
              </w:tc>
              <w:tc>
                <w:tcPr>
                  <w:tcW w:w="9059" w:type="dxa"/>
                  <w:hideMark/>
                </w:tcPr>
                <w:p w14:paraId="6558BB04"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drawing up the technical specifications of CESOP, and where necessary adapting them, for the Commission to be able to:</w:t>
                  </w:r>
                </w:p>
                <w:tbl>
                  <w:tblPr>
                    <w:tblW w:w="5000" w:type="pct"/>
                    <w:tblLayout w:type="fixed"/>
                    <w:tblCellMar>
                      <w:left w:w="0" w:type="dxa"/>
                      <w:right w:w="0" w:type="dxa"/>
                    </w:tblCellMar>
                    <w:tblLook w:val="04A0" w:firstRow="1" w:lastRow="0" w:firstColumn="1" w:lastColumn="0" w:noHBand="0" w:noVBand="1"/>
                  </w:tblPr>
                  <w:tblGrid>
                    <w:gridCol w:w="211"/>
                    <w:gridCol w:w="4798"/>
                  </w:tblGrid>
                  <w:tr w:rsidR="003C045B" w:rsidRPr="00AC21F0" w14:paraId="1A65D794" w14:textId="77777777">
                    <w:tc>
                      <w:tcPr>
                        <w:tcW w:w="366" w:type="dxa"/>
                        <w:hideMark/>
                      </w:tcPr>
                      <w:p w14:paraId="180B6897"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(a)</w:t>
                        </w:r>
                      </w:p>
                    </w:tc>
                    <w:tc>
                      <w:tcPr>
                        <w:tcW w:w="8693" w:type="dxa"/>
                        <w:hideMark/>
                      </w:tcPr>
                      <w:p w14:paraId="08B81E0F"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establish and maintain CESOP pursuant to Article 1 of this Regulation;</w:t>
                        </w:r>
                      </w:p>
                    </w:tc>
                  </w:tr>
                </w:tbl>
                <w:p w14:paraId="500C1019" w14:textId="77777777" w:rsidR="003C045B" w:rsidRPr="00AC21F0" w:rsidRDefault="003C045B" w:rsidP="006A0740">
                  <w:pPr>
                    <w:spacing w:after="0" w:line="240" w:lineRule="atLeast"/>
                    <w:rPr>
                      <w:rFonts w:ascii="Times New Roman" w:eastAsia="Times New Roman" w:hAnsi="Times New Roman" w:cs="Times New Roman"/>
                      <w:vanish/>
                      <w:kern w:val="0"/>
                      <w:sz w:val="20"/>
                      <w:szCs w:val="20"/>
                      <w14:ligatures w14:val="none"/>
                    </w:rPr>
                  </w:pPr>
                </w:p>
                <w:tbl>
                  <w:tblPr>
                    <w:tblW w:w="5000" w:type="pct"/>
                    <w:tblLayout w:type="fixed"/>
                    <w:tblCellMar>
                      <w:left w:w="0" w:type="dxa"/>
                      <w:right w:w="0" w:type="dxa"/>
                    </w:tblCellMar>
                    <w:tblLook w:val="04A0" w:firstRow="1" w:lastRow="0" w:firstColumn="1" w:lastColumn="0" w:noHBand="0" w:noVBand="1"/>
                  </w:tblPr>
                  <w:tblGrid>
                    <w:gridCol w:w="230"/>
                    <w:gridCol w:w="4779"/>
                  </w:tblGrid>
                  <w:tr w:rsidR="003C045B" w:rsidRPr="00AC21F0" w14:paraId="7C929EB1" w14:textId="77777777">
                    <w:tc>
                      <w:tcPr>
                        <w:tcW w:w="402" w:type="dxa"/>
                        <w:hideMark/>
                      </w:tcPr>
                      <w:p w14:paraId="79D265EC"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(b)</w:t>
                        </w:r>
                      </w:p>
                    </w:tc>
                    <w:tc>
                      <w:tcPr>
                        <w:tcW w:w="8657" w:type="dxa"/>
                        <w:hideMark/>
                      </w:tcPr>
                      <w:p w14:paraId="179CFC95"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technically manage CESOP pursuant to Article 2 of this Regulation;</w:t>
                        </w:r>
                      </w:p>
                    </w:tc>
                  </w:tr>
                </w:tbl>
                <w:p w14:paraId="1FDEDFD8" w14:textId="77777777" w:rsidR="003C045B" w:rsidRPr="00AC21F0" w:rsidRDefault="003C045B" w:rsidP="006A0740">
                  <w:pPr>
                    <w:spacing w:after="0" w:line="240" w:lineRule="atLeast"/>
                    <w:rPr>
                      <w:rFonts w:ascii="Times New Roman" w:eastAsia="Times New Roman" w:hAnsi="Times New Roman" w:cs="Times New Roman"/>
                      <w:vanish/>
                      <w:kern w:val="0"/>
                      <w:sz w:val="20"/>
                      <w:szCs w:val="20"/>
                      <w14:ligatures w14:val="none"/>
                    </w:rPr>
                  </w:pPr>
                </w:p>
                <w:tbl>
                  <w:tblPr>
                    <w:tblW w:w="5000" w:type="pct"/>
                    <w:tblLayout w:type="fixed"/>
                    <w:tblCellMar>
                      <w:left w:w="0" w:type="dxa"/>
                      <w:right w:w="0" w:type="dxa"/>
                    </w:tblCellMar>
                    <w:tblLook w:val="04A0" w:firstRow="1" w:lastRow="0" w:firstColumn="1" w:lastColumn="0" w:noHBand="0" w:noVBand="1"/>
                  </w:tblPr>
                  <w:tblGrid>
                    <w:gridCol w:w="169"/>
                    <w:gridCol w:w="4840"/>
                  </w:tblGrid>
                  <w:tr w:rsidR="003C045B" w:rsidRPr="00AC21F0" w14:paraId="47CB83A2" w14:textId="77777777">
                    <w:tc>
                      <w:tcPr>
                        <w:tcW w:w="290" w:type="dxa"/>
                        <w:hideMark/>
                      </w:tcPr>
                      <w:p w14:paraId="443E188B"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(c)</w:t>
                        </w:r>
                      </w:p>
                    </w:tc>
                    <w:tc>
                      <w:tcPr>
                        <w:tcW w:w="8769" w:type="dxa"/>
                        <w:hideMark/>
                      </w:tcPr>
                      <w:p w14:paraId="1D405361"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ensure the interoperability of the national electronic systems referred to in Article 24b of Regulation (EU) No 904/2010 and CESOP pursuant to Article 3(3) of this Regulation;</w:t>
                        </w:r>
                      </w:p>
                    </w:tc>
                  </w:tr>
                </w:tbl>
                <w:p w14:paraId="6585BE0F" w14:textId="77777777" w:rsidR="003C045B" w:rsidRPr="00AC21F0" w:rsidRDefault="003C045B" w:rsidP="006A0740">
                  <w:pPr>
                    <w:spacing w:after="0" w:line="240" w:lineRule="atLeast"/>
                    <w:rPr>
                      <w:rFonts w:ascii="Times New Roman" w:eastAsia="Times New Roman" w:hAnsi="Times New Roman" w:cs="Times New Roman"/>
                      <w:vanish/>
                      <w:kern w:val="0"/>
                      <w:sz w:val="20"/>
                      <w:szCs w:val="20"/>
                      <w14:ligatures w14:val="none"/>
                    </w:rPr>
                  </w:pPr>
                </w:p>
                <w:tbl>
                  <w:tblPr>
                    <w:tblW w:w="5000" w:type="pct"/>
                    <w:tblLayout w:type="fixed"/>
                    <w:tblCellMar>
                      <w:left w:w="0" w:type="dxa"/>
                      <w:right w:w="0" w:type="dxa"/>
                    </w:tblCellMar>
                    <w:tblLook w:val="04A0" w:firstRow="1" w:lastRow="0" w:firstColumn="1" w:lastColumn="0" w:noHBand="0" w:noVBand="1"/>
                  </w:tblPr>
                  <w:tblGrid>
                    <w:gridCol w:w="184"/>
                    <w:gridCol w:w="4825"/>
                  </w:tblGrid>
                  <w:tr w:rsidR="003C045B" w:rsidRPr="00AC21F0" w14:paraId="1485BB4C" w14:textId="77777777">
                    <w:tc>
                      <w:tcPr>
                        <w:tcW w:w="317" w:type="dxa"/>
                        <w:hideMark/>
                      </w:tcPr>
                      <w:p w14:paraId="56D927FB"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lastRenderedPageBreak/>
                          <w:t>(d)</w:t>
                        </w:r>
                      </w:p>
                    </w:tc>
                    <w:tc>
                      <w:tcPr>
                        <w:tcW w:w="8742" w:type="dxa"/>
                        <w:hideMark/>
                      </w:tcPr>
                      <w:p w14:paraId="63DF9C8D"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take the security measures pursuant to Article 6(2), first subparagraph, of this Regulation;</w:t>
                        </w:r>
                      </w:p>
                    </w:tc>
                  </w:tr>
                </w:tbl>
                <w:p w14:paraId="696EFF90" w14:textId="77777777" w:rsidR="003C045B" w:rsidRPr="00AC21F0" w:rsidRDefault="003C045B" w:rsidP="006A0740">
                  <w:pPr>
                    <w:spacing w:after="0" w:line="240" w:lineRule="atLeast"/>
                    <w:rPr>
                      <w:rFonts w:ascii="Times New Roman" w:eastAsia="Times New Roman" w:hAnsi="Times New Roman" w:cs="Times New Roman"/>
                      <w:kern w:val="0"/>
                      <w:sz w:val="20"/>
                      <w:szCs w:val="20"/>
                      <w14:ligatures w14:val="none"/>
                    </w:rPr>
                  </w:pPr>
                </w:p>
              </w:tc>
            </w:tr>
          </w:tbl>
          <w:p w14:paraId="13FA95AA"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000000"/>
                <w:sz w:val="20"/>
                <w:szCs w:val="20"/>
              </w:rPr>
            </w:pPr>
          </w:p>
          <w:tbl>
            <w:tblPr>
              <w:tblW w:w="5000" w:type="pct"/>
              <w:tblLayout w:type="fixed"/>
              <w:tblCellMar>
                <w:left w:w="0" w:type="dxa"/>
                <w:right w:w="0" w:type="dxa"/>
              </w:tblCellMar>
              <w:tblLook w:val="04A0" w:firstRow="1" w:lastRow="0" w:firstColumn="1" w:lastColumn="0" w:noHBand="0" w:noVBand="1"/>
            </w:tblPr>
            <w:tblGrid>
              <w:gridCol w:w="183"/>
              <w:gridCol w:w="5001"/>
            </w:tblGrid>
            <w:tr w:rsidR="003C045B" w:rsidRPr="00AC21F0" w14:paraId="1FD00284" w14:textId="77777777" w:rsidTr="0071079D">
              <w:tc>
                <w:tcPr>
                  <w:tcW w:w="315" w:type="dxa"/>
                  <w:hideMark/>
                </w:tcPr>
                <w:p w14:paraId="0F4C4864"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(b)</w:t>
                  </w:r>
                </w:p>
              </w:tc>
              <w:tc>
                <w:tcPr>
                  <w:tcW w:w="9045" w:type="dxa"/>
                  <w:hideMark/>
                </w:tcPr>
                <w:p w14:paraId="7C81EF8E"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 xml:space="preserve">setting out the rules and procedures for the selection of </w:t>
                  </w:r>
                  <w:proofErr w:type="spellStart"/>
                  <w:r w:rsidRPr="00AC21F0">
                    <w:rPr>
                      <w:rFonts w:ascii="Times New Roman" w:eastAsia="Times New Roman" w:hAnsi="Times New Roman" w:cs="Times New Roman"/>
                      <w:kern w:val="0"/>
                      <w:sz w:val="20"/>
                      <w:szCs w:val="20"/>
                      <w14:ligatures w14:val="none"/>
                    </w:rPr>
                    <w:t>Eurofisc</w:t>
                  </w:r>
                  <w:proofErr w:type="spellEnd"/>
                  <w:r w:rsidRPr="00AC21F0">
                    <w:rPr>
                      <w:rFonts w:ascii="Times New Roman" w:eastAsia="Times New Roman" w:hAnsi="Times New Roman" w:cs="Times New Roman"/>
                      <w:kern w:val="0"/>
                      <w:sz w:val="20"/>
                      <w:szCs w:val="20"/>
                      <w14:ligatures w14:val="none"/>
                    </w:rPr>
                    <w:t xml:space="preserve"> liaison officials who will have access to CESOP;</w:t>
                  </w:r>
                </w:p>
              </w:tc>
            </w:tr>
          </w:tbl>
          <w:p w14:paraId="09FD3309"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000000"/>
                <w:sz w:val="20"/>
                <w:szCs w:val="20"/>
              </w:rPr>
            </w:pPr>
          </w:p>
          <w:tbl>
            <w:tblPr>
              <w:tblW w:w="5000" w:type="pct"/>
              <w:tblLayout w:type="fixed"/>
              <w:tblCellMar>
                <w:left w:w="0" w:type="dxa"/>
                <w:right w:w="0" w:type="dxa"/>
              </w:tblCellMar>
              <w:tblLook w:val="04A0" w:firstRow="1" w:lastRow="0" w:firstColumn="1" w:lastColumn="0" w:noHBand="0" w:noVBand="1"/>
            </w:tblPr>
            <w:tblGrid>
              <w:gridCol w:w="169"/>
              <w:gridCol w:w="5015"/>
            </w:tblGrid>
            <w:tr w:rsidR="003C045B" w:rsidRPr="00AC21F0" w14:paraId="21FD3043" w14:textId="77777777" w:rsidTr="0071079D">
              <w:tc>
                <w:tcPr>
                  <w:tcW w:w="290" w:type="dxa"/>
                  <w:hideMark/>
                </w:tcPr>
                <w:p w14:paraId="519B92C5"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(c)</w:t>
                  </w:r>
                </w:p>
              </w:tc>
              <w:tc>
                <w:tcPr>
                  <w:tcW w:w="9070" w:type="dxa"/>
                  <w:hideMark/>
                </w:tcPr>
                <w:p w14:paraId="585A79BD"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answering requests from data subjects regarding the exercise of the rights laid down in Chapter III of Regulation (EU) 2016/679.</w:t>
                  </w:r>
                </w:p>
              </w:tc>
            </w:tr>
          </w:tbl>
          <w:p w14:paraId="093143B3" w14:textId="77777777" w:rsidR="003C045B" w:rsidRPr="00AC21F0" w:rsidRDefault="003C045B" w:rsidP="006A0740">
            <w:pPr>
              <w:shd w:val="clear" w:color="auto" w:fill="FFFFFF"/>
              <w:spacing w:before="120" w:line="240" w:lineRule="atLeast"/>
              <w:jc w:val="both"/>
              <w:rPr>
                <w:rFonts w:ascii="Times New Roman" w:eastAsia="Times New Roman" w:hAnsi="Times New Roman" w:cs="Times New Roman"/>
                <w:color w:val="000000"/>
                <w:sz w:val="20"/>
                <w:szCs w:val="20"/>
              </w:rPr>
            </w:pPr>
            <w:r w:rsidRPr="00AC21F0">
              <w:rPr>
                <w:rFonts w:ascii="Times New Roman" w:eastAsia="Times New Roman" w:hAnsi="Times New Roman" w:cs="Times New Roman"/>
                <w:color w:val="000000"/>
                <w:sz w:val="20"/>
                <w:szCs w:val="20"/>
              </w:rPr>
              <w:t>2.   The Commission shall be processor, as defined in Article 3, point (12), of Regulation (EU) 2018/1725, of CESOP.</w:t>
            </w:r>
          </w:p>
          <w:p w14:paraId="41FED6D6" w14:textId="77777777" w:rsidR="003C045B" w:rsidRPr="00AC21F0" w:rsidRDefault="003C045B" w:rsidP="006A0740">
            <w:pPr>
              <w:shd w:val="clear" w:color="auto" w:fill="FFFFFF"/>
              <w:spacing w:before="120" w:line="240" w:lineRule="atLeast"/>
              <w:jc w:val="both"/>
              <w:rPr>
                <w:rFonts w:ascii="Times New Roman" w:eastAsia="Times New Roman" w:hAnsi="Times New Roman" w:cs="Times New Roman"/>
                <w:color w:val="000000"/>
                <w:sz w:val="20"/>
                <w:szCs w:val="20"/>
              </w:rPr>
            </w:pPr>
            <w:r w:rsidRPr="00AC21F0">
              <w:rPr>
                <w:rFonts w:ascii="Times New Roman" w:eastAsia="Times New Roman" w:hAnsi="Times New Roman" w:cs="Times New Roman"/>
                <w:color w:val="000000"/>
                <w:sz w:val="20"/>
                <w:szCs w:val="20"/>
              </w:rPr>
              <w:t>The Commission shall:</w:t>
            </w:r>
          </w:p>
          <w:tbl>
            <w:tblPr>
              <w:tblW w:w="5000" w:type="pct"/>
              <w:tblLayout w:type="fixed"/>
              <w:tblCellMar>
                <w:left w:w="0" w:type="dxa"/>
                <w:right w:w="0" w:type="dxa"/>
              </w:tblCellMar>
              <w:tblLook w:val="04A0" w:firstRow="1" w:lastRow="0" w:firstColumn="1" w:lastColumn="0" w:noHBand="0" w:noVBand="1"/>
            </w:tblPr>
            <w:tblGrid>
              <w:gridCol w:w="175"/>
              <w:gridCol w:w="5009"/>
            </w:tblGrid>
            <w:tr w:rsidR="003C045B" w:rsidRPr="00AC21F0" w14:paraId="34FF7513" w14:textId="77777777" w:rsidTr="0071079D">
              <w:tc>
                <w:tcPr>
                  <w:tcW w:w="301" w:type="dxa"/>
                  <w:hideMark/>
                </w:tcPr>
                <w:p w14:paraId="68849B0B"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(a)</w:t>
                  </w:r>
                </w:p>
              </w:tc>
              <w:tc>
                <w:tcPr>
                  <w:tcW w:w="9059" w:type="dxa"/>
                  <w:hideMark/>
                </w:tcPr>
                <w:p w14:paraId="423CE3E4"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process the personal data on behalf of the Member States on their instructions and keep documentation for those instructions;</w:t>
                  </w:r>
                </w:p>
              </w:tc>
            </w:tr>
          </w:tbl>
          <w:p w14:paraId="473B2C2C"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000000"/>
                <w:sz w:val="20"/>
                <w:szCs w:val="20"/>
              </w:rPr>
            </w:pPr>
          </w:p>
          <w:tbl>
            <w:tblPr>
              <w:tblW w:w="5000" w:type="pct"/>
              <w:tblLayout w:type="fixed"/>
              <w:tblCellMar>
                <w:left w:w="0" w:type="dxa"/>
                <w:right w:w="0" w:type="dxa"/>
              </w:tblCellMar>
              <w:tblLook w:val="04A0" w:firstRow="1" w:lastRow="0" w:firstColumn="1" w:lastColumn="0" w:noHBand="0" w:noVBand="1"/>
            </w:tblPr>
            <w:tblGrid>
              <w:gridCol w:w="196"/>
              <w:gridCol w:w="4988"/>
            </w:tblGrid>
            <w:tr w:rsidR="003C045B" w:rsidRPr="00AC21F0" w14:paraId="3B4009D5" w14:textId="77777777" w:rsidTr="0071079D">
              <w:tc>
                <w:tcPr>
                  <w:tcW w:w="339" w:type="dxa"/>
                  <w:hideMark/>
                </w:tcPr>
                <w:p w14:paraId="441A7EC2"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(b)</w:t>
                  </w:r>
                </w:p>
              </w:tc>
              <w:tc>
                <w:tcPr>
                  <w:tcW w:w="9021" w:type="dxa"/>
                  <w:hideMark/>
                </w:tcPr>
                <w:p w14:paraId="477DAC19"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ensure the confidentiality of personal data when processed under this Regulation;</w:t>
                  </w:r>
                </w:p>
              </w:tc>
            </w:tr>
          </w:tbl>
          <w:p w14:paraId="22C6068C"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000000"/>
                <w:sz w:val="20"/>
                <w:szCs w:val="20"/>
              </w:rPr>
            </w:pPr>
          </w:p>
          <w:tbl>
            <w:tblPr>
              <w:tblW w:w="5000" w:type="pct"/>
              <w:tblLayout w:type="fixed"/>
              <w:tblCellMar>
                <w:left w:w="0" w:type="dxa"/>
                <w:right w:w="0" w:type="dxa"/>
              </w:tblCellMar>
              <w:tblLook w:val="04A0" w:firstRow="1" w:lastRow="0" w:firstColumn="1" w:lastColumn="0" w:noHBand="0" w:noVBand="1"/>
            </w:tblPr>
            <w:tblGrid>
              <w:gridCol w:w="169"/>
              <w:gridCol w:w="5015"/>
            </w:tblGrid>
            <w:tr w:rsidR="003C045B" w:rsidRPr="00AC21F0" w14:paraId="2693D4C3" w14:textId="77777777" w:rsidTr="0071079D">
              <w:tc>
                <w:tcPr>
                  <w:tcW w:w="290" w:type="dxa"/>
                  <w:hideMark/>
                </w:tcPr>
                <w:p w14:paraId="21F5FE5B"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(c)</w:t>
                  </w:r>
                </w:p>
              </w:tc>
              <w:tc>
                <w:tcPr>
                  <w:tcW w:w="9070" w:type="dxa"/>
                  <w:hideMark/>
                </w:tcPr>
                <w:p w14:paraId="752BA632"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provide the necessary technical infrastructure for Member States to respond to the requests referred to in paragraph 1, point (c);</w:t>
                  </w:r>
                </w:p>
              </w:tc>
            </w:tr>
          </w:tbl>
          <w:p w14:paraId="1055F56A"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000000"/>
                <w:sz w:val="20"/>
                <w:szCs w:val="20"/>
              </w:rPr>
            </w:pPr>
          </w:p>
          <w:tbl>
            <w:tblPr>
              <w:tblW w:w="5000" w:type="pct"/>
              <w:tblLayout w:type="fixed"/>
              <w:tblCellMar>
                <w:left w:w="0" w:type="dxa"/>
                <w:right w:w="0" w:type="dxa"/>
              </w:tblCellMar>
              <w:tblLook w:val="04A0" w:firstRow="1" w:lastRow="0" w:firstColumn="1" w:lastColumn="0" w:noHBand="0" w:noVBand="1"/>
            </w:tblPr>
            <w:tblGrid>
              <w:gridCol w:w="184"/>
              <w:gridCol w:w="5000"/>
            </w:tblGrid>
            <w:tr w:rsidR="003C045B" w:rsidRPr="00AC21F0" w14:paraId="0AA282F9" w14:textId="77777777" w:rsidTr="0071079D">
              <w:tc>
                <w:tcPr>
                  <w:tcW w:w="317" w:type="dxa"/>
                  <w:hideMark/>
                </w:tcPr>
                <w:p w14:paraId="4CB49C4E"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(d)</w:t>
                  </w:r>
                </w:p>
              </w:tc>
              <w:tc>
                <w:tcPr>
                  <w:tcW w:w="9043" w:type="dxa"/>
                  <w:hideMark/>
                </w:tcPr>
                <w:p w14:paraId="47DD2A09"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assist the Member States to comply with the obligations laid down in Articles 33 to 41 of Regulation (EU) 2016/679;</w:t>
                  </w:r>
                </w:p>
              </w:tc>
            </w:tr>
          </w:tbl>
          <w:p w14:paraId="17874CEC"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000000"/>
                <w:sz w:val="20"/>
                <w:szCs w:val="20"/>
              </w:rPr>
            </w:pPr>
          </w:p>
          <w:tbl>
            <w:tblPr>
              <w:tblW w:w="5000" w:type="pct"/>
              <w:tblLayout w:type="fixed"/>
              <w:tblCellMar>
                <w:left w:w="0" w:type="dxa"/>
                <w:right w:w="0" w:type="dxa"/>
              </w:tblCellMar>
              <w:tblLook w:val="04A0" w:firstRow="1" w:lastRow="0" w:firstColumn="1" w:lastColumn="0" w:noHBand="0" w:noVBand="1"/>
            </w:tblPr>
            <w:tblGrid>
              <w:gridCol w:w="175"/>
              <w:gridCol w:w="5009"/>
            </w:tblGrid>
            <w:tr w:rsidR="003C045B" w:rsidRPr="00AC21F0" w14:paraId="47CFD1D2" w14:textId="77777777" w:rsidTr="0071079D">
              <w:tc>
                <w:tcPr>
                  <w:tcW w:w="301" w:type="dxa"/>
                  <w:hideMark/>
                </w:tcPr>
                <w:p w14:paraId="3C9EB1A2"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(e)</w:t>
                  </w:r>
                </w:p>
              </w:tc>
              <w:tc>
                <w:tcPr>
                  <w:tcW w:w="9059" w:type="dxa"/>
                  <w:hideMark/>
                </w:tcPr>
                <w:p w14:paraId="2F115AA9"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ensure the deletion of all personal data stored in CESOP in accordance with Article 24c(2), of Regulation (EU) No 904/2010;</w:t>
                  </w:r>
                </w:p>
              </w:tc>
            </w:tr>
          </w:tbl>
          <w:p w14:paraId="0AB1499F" w14:textId="77777777" w:rsidR="003C045B" w:rsidRPr="00AC21F0" w:rsidRDefault="003C045B" w:rsidP="006A0740">
            <w:pPr>
              <w:shd w:val="clear" w:color="auto" w:fill="FFFFFF"/>
              <w:spacing w:line="240" w:lineRule="atLeast"/>
              <w:rPr>
                <w:rFonts w:ascii="Times New Roman" w:eastAsia="Times New Roman" w:hAnsi="Times New Roman" w:cs="Times New Roman"/>
                <w:vanish/>
                <w:color w:val="000000"/>
                <w:sz w:val="20"/>
                <w:szCs w:val="20"/>
              </w:rPr>
            </w:pPr>
          </w:p>
          <w:tbl>
            <w:tblPr>
              <w:tblW w:w="5000" w:type="pct"/>
              <w:tblLayout w:type="fixed"/>
              <w:tblCellMar>
                <w:left w:w="0" w:type="dxa"/>
                <w:right w:w="0" w:type="dxa"/>
              </w:tblCellMar>
              <w:tblLook w:val="04A0" w:firstRow="1" w:lastRow="0" w:firstColumn="1" w:lastColumn="0" w:noHBand="0" w:noVBand="1"/>
            </w:tblPr>
            <w:tblGrid>
              <w:gridCol w:w="150"/>
              <w:gridCol w:w="5034"/>
            </w:tblGrid>
            <w:tr w:rsidR="003C045B" w:rsidRPr="00AC21F0" w14:paraId="66E41BA1" w14:textId="77777777" w:rsidTr="0071079D">
              <w:tc>
                <w:tcPr>
                  <w:tcW w:w="256" w:type="dxa"/>
                  <w:hideMark/>
                </w:tcPr>
                <w:p w14:paraId="4E62148E"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(f)</w:t>
                  </w:r>
                </w:p>
              </w:tc>
              <w:tc>
                <w:tcPr>
                  <w:tcW w:w="9104" w:type="dxa"/>
                  <w:hideMark/>
                </w:tcPr>
                <w:p w14:paraId="23BB637B" w14:textId="77777777" w:rsidR="003C045B" w:rsidRPr="00AC21F0" w:rsidRDefault="003C045B" w:rsidP="006A0740">
                  <w:pPr>
                    <w:spacing w:before="120" w:after="0" w:line="240" w:lineRule="atLeast"/>
                    <w:jc w:val="both"/>
                    <w:rPr>
                      <w:rFonts w:ascii="Times New Roman" w:eastAsia="Times New Roman" w:hAnsi="Times New Roman" w:cs="Times New Roman"/>
                      <w:kern w:val="0"/>
                      <w:sz w:val="20"/>
                      <w:szCs w:val="20"/>
                      <w14:ligatures w14:val="none"/>
                    </w:rPr>
                  </w:pPr>
                  <w:r w:rsidRPr="00AC21F0">
                    <w:rPr>
                      <w:rFonts w:ascii="Times New Roman" w:eastAsia="Times New Roman" w:hAnsi="Times New Roman" w:cs="Times New Roman"/>
                      <w:kern w:val="0"/>
                      <w:sz w:val="20"/>
                      <w:szCs w:val="20"/>
                      <w14:ligatures w14:val="none"/>
                    </w:rPr>
                    <w:t xml:space="preserve">make available to Member States all information necessary to demonstrate compliance with the obligations laid down in this Article and allow for and contribute to audits, including inspections, conducted by Member States or another auditor </w:t>
                  </w:r>
                  <w:r w:rsidRPr="00AC21F0">
                    <w:rPr>
                      <w:rFonts w:ascii="Times New Roman" w:eastAsia="Times New Roman" w:hAnsi="Times New Roman" w:cs="Times New Roman"/>
                      <w:kern w:val="0"/>
                      <w:sz w:val="20"/>
                      <w:szCs w:val="20"/>
                      <w14:ligatures w14:val="none"/>
                    </w:rPr>
                    <w:lastRenderedPageBreak/>
                    <w:t>mandated by Member States, in full respect of Protocol (No 7) to the Treaty on the Functioning of the European Union on the Privileges and Immunities of the European Union.</w:t>
                  </w:r>
                </w:p>
              </w:tc>
            </w:tr>
          </w:tbl>
          <w:p w14:paraId="2DF3E396" w14:textId="48991900" w:rsidR="003C045B" w:rsidRPr="00AC21F0" w:rsidRDefault="003C045B" w:rsidP="006A0740">
            <w:pPr>
              <w:spacing w:line="240" w:lineRule="atLeast"/>
              <w:jc w:val="both"/>
              <w:rPr>
                <w:rFonts w:ascii="Times New Roman" w:eastAsia="Calibri" w:hAnsi="Times New Roman" w:cs="Times New Roman"/>
                <w:iCs/>
                <w:sz w:val="20"/>
                <w:szCs w:val="20"/>
                <w:lang w:val="en-US"/>
              </w:rPr>
            </w:pPr>
          </w:p>
        </w:tc>
        <w:tc>
          <w:tcPr>
            <w:tcW w:w="450" w:type="dxa"/>
          </w:tcPr>
          <w:p w14:paraId="5C12CE0E" w14:textId="77777777" w:rsidR="003C045B" w:rsidRPr="00AC21F0" w:rsidRDefault="003C045B" w:rsidP="006A0740">
            <w:pPr>
              <w:spacing w:line="240" w:lineRule="atLeast"/>
              <w:jc w:val="center"/>
              <w:rPr>
                <w:rFonts w:ascii="Times New Roman" w:eastAsia="Calibri" w:hAnsi="Times New Roman" w:cs="Times New Roman"/>
                <w:sz w:val="20"/>
                <w:szCs w:val="20"/>
              </w:rPr>
            </w:pPr>
          </w:p>
        </w:tc>
        <w:tc>
          <w:tcPr>
            <w:tcW w:w="644" w:type="dxa"/>
          </w:tcPr>
          <w:p w14:paraId="31FA75E7" w14:textId="4AEF5EC0"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5040" w:type="dxa"/>
          </w:tcPr>
          <w:p w14:paraId="0CC43CCB" w14:textId="77777777" w:rsidR="003C045B" w:rsidRPr="00AC21F0" w:rsidRDefault="003C045B" w:rsidP="006A0740">
            <w:pPr>
              <w:spacing w:line="240" w:lineRule="atLeast"/>
              <w:jc w:val="both"/>
              <w:rPr>
                <w:rFonts w:ascii="Times New Roman" w:hAnsi="Times New Roman" w:cs="Times New Roman"/>
                <w:sz w:val="20"/>
                <w:szCs w:val="20"/>
              </w:rPr>
            </w:pPr>
          </w:p>
          <w:p w14:paraId="7FDF6786" w14:textId="10621498" w:rsidR="00931B73" w:rsidRPr="00AC21F0" w:rsidRDefault="00931B73"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1.</w:t>
            </w:r>
            <w:r w:rsidRPr="00AC21F0">
              <w:rPr>
                <w:rFonts w:ascii="Times New Roman" w:eastAsia="Times New Roman" w:hAnsi="Times New Roman" w:cs="Times New Roman"/>
                <w:sz w:val="20"/>
                <w:szCs w:val="20"/>
              </w:rPr>
              <w:tab/>
              <w:t>The General Directorate of Taxation shall use the data for tax purposes, including risk analysis and the fight against VAT fraud, in accordance with Council Regulation (EU) No. 904/2010, as amended</w:t>
            </w:r>
            <w:r w:rsidR="00BF1CFB" w:rsidRPr="00AC21F0">
              <w:rPr>
                <w:rFonts w:ascii="Times New Roman" w:eastAsia="Times New Roman" w:hAnsi="Times New Roman" w:cs="Times New Roman"/>
                <w:sz w:val="20"/>
                <w:szCs w:val="20"/>
              </w:rPr>
              <w:t>.</w:t>
            </w:r>
            <w:r w:rsidRPr="00AC21F0">
              <w:rPr>
                <w:rFonts w:ascii="Times New Roman" w:eastAsia="Times New Roman" w:hAnsi="Times New Roman" w:cs="Times New Roman"/>
                <w:sz w:val="20"/>
                <w:szCs w:val="20"/>
              </w:rPr>
              <w:t xml:space="preserve"> </w:t>
            </w:r>
          </w:p>
          <w:p w14:paraId="389377F1" w14:textId="77777777" w:rsidR="00931B73" w:rsidRPr="00AC21F0" w:rsidRDefault="00931B73"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2.</w:t>
            </w:r>
            <w:r w:rsidRPr="00AC21F0">
              <w:rPr>
                <w:rFonts w:ascii="Times New Roman" w:eastAsia="Times New Roman" w:hAnsi="Times New Roman" w:cs="Times New Roman"/>
                <w:sz w:val="20"/>
                <w:szCs w:val="20"/>
              </w:rPr>
              <w:tab/>
              <w:t>The General Directorate of Taxation shall retain the reported data for five (5) years from the date of receipt.</w:t>
            </w:r>
          </w:p>
          <w:p w14:paraId="0C6D208F" w14:textId="77777777" w:rsidR="00931B73" w:rsidRPr="00AC21F0" w:rsidRDefault="00931B73"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3.</w:t>
            </w:r>
            <w:r w:rsidRPr="00AC21F0">
              <w:rPr>
                <w:rFonts w:ascii="Times New Roman" w:eastAsia="Times New Roman" w:hAnsi="Times New Roman" w:cs="Times New Roman"/>
                <w:sz w:val="20"/>
                <w:szCs w:val="20"/>
              </w:rPr>
              <w:tab/>
              <w:t>The processing of personal data and the provision of information to the data subject by payment service providers shall be carried out in accordance with the rules laid down by the legislation in force on the protection of personal data.</w:t>
            </w:r>
          </w:p>
          <w:p w14:paraId="5186D6C7" w14:textId="1DBCBDDF" w:rsidR="00931B73" w:rsidRPr="00AC21F0" w:rsidRDefault="00931B73"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4.</w:t>
            </w:r>
            <w:r w:rsidRPr="00AC21F0">
              <w:rPr>
                <w:rFonts w:ascii="Times New Roman" w:eastAsia="Times New Roman" w:hAnsi="Times New Roman" w:cs="Times New Roman"/>
                <w:sz w:val="20"/>
                <w:szCs w:val="20"/>
              </w:rPr>
              <w:tab/>
              <w:t xml:space="preserve">The use of the data for other purposes shall be prohibited, except in cases of publication of statistical data by </w:t>
            </w:r>
            <w:r w:rsidR="00285242" w:rsidRPr="00AC21F0">
              <w:rPr>
                <w:rFonts w:ascii="Times New Roman" w:eastAsia="Times New Roman" w:hAnsi="Times New Roman" w:cs="Times New Roman"/>
                <w:sz w:val="20"/>
                <w:szCs w:val="20"/>
              </w:rPr>
              <w:t xml:space="preserve">tax administration </w:t>
            </w:r>
            <w:r w:rsidRPr="00AC21F0">
              <w:rPr>
                <w:rFonts w:ascii="Times New Roman" w:eastAsia="Times New Roman" w:hAnsi="Times New Roman" w:cs="Times New Roman"/>
                <w:sz w:val="20"/>
                <w:szCs w:val="20"/>
              </w:rPr>
              <w:t>responsible for the publication of official statistics in the Republic of Albania, in accordance with the legislation in force on official statistics.</w:t>
            </w:r>
          </w:p>
          <w:p w14:paraId="3CEA7F6A" w14:textId="77777777" w:rsidR="00931B73" w:rsidRPr="00AC21F0" w:rsidRDefault="00931B73"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5.</w:t>
            </w:r>
            <w:r w:rsidRPr="00AC21F0">
              <w:rPr>
                <w:rFonts w:ascii="Times New Roman" w:eastAsia="Times New Roman" w:hAnsi="Times New Roman" w:cs="Times New Roman"/>
                <w:sz w:val="20"/>
                <w:szCs w:val="20"/>
              </w:rPr>
              <w:tab/>
              <w:t>The information required under paragraph 4 of this Article shall be provided only in an anonymized form.</w:t>
            </w:r>
          </w:p>
          <w:p w14:paraId="7089E5B9" w14:textId="325B73AA" w:rsidR="003C045B" w:rsidRPr="00AC21F0" w:rsidRDefault="00931B73" w:rsidP="006A0740">
            <w:pPr>
              <w:spacing w:line="240" w:lineRule="atLeast"/>
              <w:jc w:val="both"/>
              <w:rPr>
                <w:rFonts w:ascii="Times New Roman" w:eastAsia="Calibri" w:hAnsi="Times New Roman" w:cs="Times New Roman"/>
                <w:sz w:val="20"/>
                <w:szCs w:val="20"/>
              </w:rPr>
            </w:pPr>
            <w:r w:rsidRPr="00AC21F0">
              <w:rPr>
                <w:rFonts w:ascii="Times New Roman" w:eastAsia="Times New Roman" w:hAnsi="Times New Roman" w:cs="Times New Roman"/>
                <w:sz w:val="20"/>
                <w:szCs w:val="20"/>
              </w:rPr>
              <w:t>6.</w:t>
            </w:r>
            <w:r w:rsidRPr="00AC21F0">
              <w:rPr>
                <w:rFonts w:ascii="Times New Roman" w:eastAsia="Times New Roman" w:hAnsi="Times New Roman" w:cs="Times New Roman"/>
                <w:sz w:val="20"/>
                <w:szCs w:val="20"/>
              </w:rPr>
              <w:tab/>
              <w:t xml:space="preserve">The retained data shall be processed in accordance with the law on the protection of personal data and </w:t>
            </w:r>
            <w:r w:rsidRPr="00AC21F0">
              <w:rPr>
                <w:rFonts w:ascii="Times New Roman" w:eastAsia="Times New Roman" w:hAnsi="Times New Roman" w:cs="Times New Roman"/>
                <w:sz w:val="20"/>
                <w:szCs w:val="20"/>
              </w:rPr>
              <w:lastRenderedPageBreak/>
              <w:t>international information security standards, including ISO 27001 protocols and cybersecurity standards.</w:t>
            </w:r>
          </w:p>
        </w:tc>
        <w:tc>
          <w:tcPr>
            <w:tcW w:w="720" w:type="dxa"/>
          </w:tcPr>
          <w:p w14:paraId="753EE87F" w14:textId="6B2744C9" w:rsidR="003C045B" w:rsidRPr="00AC21F0" w:rsidRDefault="003C045B" w:rsidP="006A0740">
            <w:pPr>
              <w:spacing w:line="240" w:lineRule="atLeast"/>
              <w:jc w:val="center"/>
              <w:rPr>
                <w:rFonts w:ascii="Times New Roman" w:eastAsia="Calibri" w:hAnsi="Times New Roman" w:cs="Times New Roman"/>
                <w:sz w:val="20"/>
                <w:szCs w:val="20"/>
                <w:lang w:val="en-US"/>
              </w:rPr>
            </w:pPr>
            <w:r w:rsidRPr="00AC21F0">
              <w:rPr>
                <w:rFonts w:ascii="Times New Roman" w:eastAsia="Calibri" w:hAnsi="Times New Roman" w:cs="Times New Roman"/>
                <w:sz w:val="20"/>
                <w:szCs w:val="20"/>
                <w:lang w:val="en-US"/>
              </w:rPr>
              <w:lastRenderedPageBreak/>
              <w:t>F</w:t>
            </w:r>
          </w:p>
        </w:tc>
        <w:tc>
          <w:tcPr>
            <w:tcW w:w="3510" w:type="dxa"/>
          </w:tcPr>
          <w:p w14:paraId="1930D9F8" w14:textId="7970FF18" w:rsidR="00E1458D" w:rsidRPr="00AC21F0" w:rsidRDefault="0009621F" w:rsidP="006A0740">
            <w:pPr>
              <w:pBdr>
                <w:top w:val="nil"/>
                <w:left w:val="nil"/>
                <w:bottom w:val="nil"/>
                <w:right w:val="nil"/>
                <w:between w:val="nil"/>
              </w:pBdr>
              <w:spacing w:before="120"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C</w:t>
            </w:r>
            <w:r w:rsidR="003C045B" w:rsidRPr="00AC21F0">
              <w:rPr>
                <w:rFonts w:ascii="Times New Roman" w:eastAsia="Times New Roman" w:hAnsi="Times New Roman" w:cs="Times New Roman"/>
                <w:sz w:val="20"/>
                <w:szCs w:val="20"/>
              </w:rPr>
              <w:t xml:space="preserve">ompliant </w:t>
            </w:r>
            <w:r w:rsidR="00E1458D" w:rsidRPr="00AC21F0">
              <w:rPr>
                <w:rFonts w:ascii="Times New Roman" w:eastAsia="Times New Roman" w:hAnsi="Times New Roman" w:cs="Times New Roman"/>
                <w:sz w:val="20"/>
                <w:szCs w:val="20"/>
              </w:rPr>
              <w:t>.</w:t>
            </w:r>
          </w:p>
          <w:p w14:paraId="2CCAD272" w14:textId="7EF740B7" w:rsidR="003C045B" w:rsidRPr="00AC21F0" w:rsidRDefault="003C045B" w:rsidP="006A0740">
            <w:pPr>
              <w:pBdr>
                <w:top w:val="nil"/>
                <w:left w:val="nil"/>
                <w:bottom w:val="nil"/>
                <w:right w:val="nil"/>
                <w:between w:val="nil"/>
              </w:pBdr>
              <w:spacing w:before="120" w:line="240" w:lineRule="atLeast"/>
              <w:jc w:val="both"/>
              <w:rPr>
                <w:rFonts w:ascii="Times New Roman" w:hAnsi="Times New Roman" w:cs="Times New Roman"/>
                <w:sz w:val="20"/>
                <w:szCs w:val="20"/>
                <w:lang w:val="en-US"/>
              </w:rPr>
            </w:pPr>
            <w:r w:rsidRPr="00AC21F0">
              <w:rPr>
                <w:rFonts w:ascii="Times New Roman" w:eastAsia="Times New Roman" w:hAnsi="Times New Roman" w:cs="Times New Roman"/>
                <w:sz w:val="20"/>
                <w:szCs w:val="20"/>
              </w:rPr>
              <w:t>Article 12 reflects the requirements of Article 7 of Implementing Regulation (EU) 2022/1504, including:</w:t>
            </w:r>
          </w:p>
          <w:p w14:paraId="7BF82B63" w14:textId="77777777" w:rsidR="003C045B" w:rsidRPr="00AC21F0" w:rsidRDefault="003C045B" w:rsidP="006A0740">
            <w:pPr>
              <w:numPr>
                <w:ilvl w:val="0"/>
                <w:numId w:val="15"/>
              </w:numPr>
              <w:pBdr>
                <w:top w:val="nil"/>
                <w:left w:val="nil"/>
                <w:bottom w:val="nil"/>
                <w:right w:val="nil"/>
                <w:between w:val="nil"/>
              </w:pBdr>
              <w:tabs>
                <w:tab w:val="num" w:pos="720"/>
              </w:tabs>
              <w:spacing w:before="120" w:line="240" w:lineRule="atLeast"/>
              <w:jc w:val="both"/>
              <w:rPr>
                <w:rFonts w:ascii="Times New Roman" w:eastAsia="Times New Roman" w:hAnsi="Times New Roman" w:cs="Times New Roman"/>
                <w:sz w:val="20"/>
                <w:szCs w:val="20"/>
                <w:lang w:val="en-US"/>
              </w:rPr>
            </w:pPr>
            <w:r w:rsidRPr="00AC21F0">
              <w:rPr>
                <w:rFonts w:ascii="Times New Roman" w:eastAsia="Times New Roman" w:hAnsi="Times New Roman" w:cs="Times New Roman"/>
                <w:sz w:val="20"/>
                <w:szCs w:val="20"/>
                <w:lang w:val="en-US"/>
              </w:rPr>
              <w:t>the five-year data retention period,</w:t>
            </w:r>
          </w:p>
          <w:p w14:paraId="7AA57C35" w14:textId="77777777" w:rsidR="003C045B" w:rsidRPr="00AC21F0" w:rsidRDefault="003C045B" w:rsidP="006A0740">
            <w:pPr>
              <w:numPr>
                <w:ilvl w:val="0"/>
                <w:numId w:val="15"/>
              </w:numPr>
              <w:pBdr>
                <w:top w:val="nil"/>
                <w:left w:val="nil"/>
                <w:bottom w:val="nil"/>
                <w:right w:val="nil"/>
                <w:between w:val="nil"/>
              </w:pBdr>
              <w:tabs>
                <w:tab w:val="num" w:pos="720"/>
              </w:tabs>
              <w:spacing w:before="120" w:line="240" w:lineRule="atLeast"/>
              <w:jc w:val="both"/>
              <w:rPr>
                <w:rFonts w:ascii="Times New Roman" w:eastAsia="Times New Roman" w:hAnsi="Times New Roman" w:cs="Times New Roman"/>
                <w:sz w:val="20"/>
                <w:szCs w:val="20"/>
                <w:lang w:val="en-US"/>
              </w:rPr>
            </w:pPr>
            <w:r w:rsidRPr="00AC21F0">
              <w:rPr>
                <w:rFonts w:ascii="Times New Roman" w:eastAsia="Times New Roman" w:hAnsi="Times New Roman" w:cs="Times New Roman"/>
                <w:sz w:val="20"/>
                <w:szCs w:val="20"/>
                <w:lang w:val="en-US"/>
              </w:rPr>
              <w:t>restriction of use for tax purposes,</w:t>
            </w:r>
          </w:p>
          <w:p w14:paraId="399AF836" w14:textId="77777777" w:rsidR="003C045B" w:rsidRPr="00AC21F0" w:rsidRDefault="003C045B" w:rsidP="006A0740">
            <w:pPr>
              <w:numPr>
                <w:ilvl w:val="0"/>
                <w:numId w:val="15"/>
              </w:numPr>
              <w:pBdr>
                <w:top w:val="nil"/>
                <w:left w:val="nil"/>
                <w:bottom w:val="nil"/>
                <w:right w:val="nil"/>
                <w:between w:val="nil"/>
              </w:pBdr>
              <w:tabs>
                <w:tab w:val="num" w:pos="720"/>
              </w:tabs>
              <w:spacing w:before="120" w:line="240" w:lineRule="atLeast"/>
              <w:jc w:val="both"/>
              <w:rPr>
                <w:rFonts w:ascii="Times New Roman" w:eastAsia="Times New Roman" w:hAnsi="Times New Roman" w:cs="Times New Roman"/>
                <w:sz w:val="20"/>
                <w:szCs w:val="20"/>
                <w:lang w:val="en-US"/>
              </w:rPr>
            </w:pPr>
            <w:r w:rsidRPr="00AC21F0">
              <w:rPr>
                <w:rFonts w:ascii="Times New Roman" w:eastAsia="Times New Roman" w:hAnsi="Times New Roman" w:cs="Times New Roman"/>
                <w:sz w:val="20"/>
                <w:szCs w:val="20"/>
                <w:lang w:val="en-US"/>
              </w:rPr>
              <w:t>compliance with the rules for the protection of personal data,</w:t>
            </w:r>
          </w:p>
          <w:p w14:paraId="09310C4F" w14:textId="77777777" w:rsidR="003C045B" w:rsidRPr="00AC21F0" w:rsidRDefault="003C045B" w:rsidP="006A0740">
            <w:pPr>
              <w:numPr>
                <w:ilvl w:val="0"/>
                <w:numId w:val="15"/>
              </w:numPr>
              <w:pBdr>
                <w:top w:val="nil"/>
                <w:left w:val="nil"/>
                <w:bottom w:val="nil"/>
                <w:right w:val="nil"/>
                <w:between w:val="nil"/>
              </w:pBdr>
              <w:tabs>
                <w:tab w:val="num" w:pos="720"/>
              </w:tabs>
              <w:spacing w:before="120" w:line="240" w:lineRule="atLeast"/>
              <w:jc w:val="both"/>
              <w:rPr>
                <w:rFonts w:ascii="Times New Roman" w:eastAsia="Times New Roman" w:hAnsi="Times New Roman" w:cs="Times New Roman"/>
                <w:sz w:val="20"/>
                <w:szCs w:val="20"/>
                <w:lang w:val="en-US"/>
              </w:rPr>
            </w:pPr>
            <w:r w:rsidRPr="00AC21F0">
              <w:rPr>
                <w:rFonts w:ascii="Times New Roman" w:eastAsia="Times New Roman" w:hAnsi="Times New Roman" w:cs="Times New Roman"/>
                <w:sz w:val="20"/>
                <w:szCs w:val="20"/>
                <w:lang w:val="en-US"/>
              </w:rPr>
              <w:t xml:space="preserve">and ensuring </w:t>
            </w:r>
            <w:proofErr w:type="spellStart"/>
            <w:r w:rsidRPr="00AC21F0">
              <w:rPr>
                <w:rFonts w:ascii="Times New Roman" w:eastAsia="Times New Roman" w:hAnsi="Times New Roman" w:cs="Times New Roman"/>
                <w:sz w:val="20"/>
                <w:szCs w:val="20"/>
                <w:lang w:val="en-US"/>
              </w:rPr>
              <w:t>anonymisation</w:t>
            </w:r>
            <w:proofErr w:type="spellEnd"/>
            <w:r w:rsidRPr="00AC21F0">
              <w:rPr>
                <w:rFonts w:ascii="Times New Roman" w:eastAsia="Times New Roman" w:hAnsi="Times New Roman" w:cs="Times New Roman"/>
                <w:sz w:val="20"/>
                <w:szCs w:val="20"/>
                <w:lang w:val="en-US"/>
              </w:rPr>
              <w:t xml:space="preserve"> in statistical publications.</w:t>
            </w:r>
          </w:p>
          <w:p w14:paraId="096A4328" w14:textId="77777777" w:rsidR="003C045B" w:rsidRPr="00AC21F0" w:rsidRDefault="003C045B" w:rsidP="006A0740">
            <w:pPr>
              <w:spacing w:line="240" w:lineRule="atLeast"/>
              <w:rPr>
                <w:rFonts w:ascii="Times New Roman" w:eastAsia="Calibri" w:hAnsi="Times New Roman" w:cs="Times New Roman"/>
                <w:sz w:val="20"/>
                <w:szCs w:val="20"/>
                <w:lang w:val="en-US"/>
              </w:rPr>
            </w:pPr>
          </w:p>
        </w:tc>
      </w:tr>
      <w:tr w:rsidR="003C045B" w:rsidRPr="00AC21F0" w14:paraId="6BF88948" w14:textId="77777777" w:rsidTr="00990A3C">
        <w:tc>
          <w:tcPr>
            <w:tcW w:w="540" w:type="dxa"/>
          </w:tcPr>
          <w:p w14:paraId="0B20EF4D" w14:textId="5065F7F9"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vMerge/>
          </w:tcPr>
          <w:p w14:paraId="09890B82" w14:textId="19AB0185" w:rsidR="003C045B" w:rsidRPr="00AC21F0" w:rsidRDefault="003C045B" w:rsidP="006A0740">
            <w:pPr>
              <w:spacing w:line="240" w:lineRule="atLeast"/>
              <w:jc w:val="both"/>
              <w:rPr>
                <w:rFonts w:ascii="Times New Roman" w:eastAsia="Calibri" w:hAnsi="Times New Roman" w:cs="Times New Roman"/>
                <w:iCs/>
                <w:sz w:val="20"/>
                <w:szCs w:val="20"/>
                <w:lang w:val="en-US"/>
              </w:rPr>
            </w:pPr>
          </w:p>
        </w:tc>
        <w:tc>
          <w:tcPr>
            <w:tcW w:w="450" w:type="dxa"/>
            <w:shd w:val="clear" w:color="auto" w:fill="D0CECE" w:themeFill="background2" w:themeFillShade="E6"/>
          </w:tcPr>
          <w:p w14:paraId="082FE915" w14:textId="77777777" w:rsidR="003C045B" w:rsidRPr="00AC21F0" w:rsidRDefault="003C045B" w:rsidP="006A0740">
            <w:pPr>
              <w:spacing w:line="240" w:lineRule="atLeast"/>
              <w:jc w:val="center"/>
              <w:rPr>
                <w:rFonts w:ascii="Times New Roman" w:eastAsia="Calibri" w:hAnsi="Times New Roman" w:cs="Times New Roman"/>
                <w:sz w:val="20"/>
                <w:szCs w:val="20"/>
              </w:rPr>
            </w:pPr>
          </w:p>
        </w:tc>
        <w:tc>
          <w:tcPr>
            <w:tcW w:w="644" w:type="dxa"/>
            <w:shd w:val="clear" w:color="auto" w:fill="D0CECE" w:themeFill="background2" w:themeFillShade="E6"/>
          </w:tcPr>
          <w:p w14:paraId="1A3D1163" w14:textId="5877D4EA"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5040" w:type="dxa"/>
            <w:shd w:val="clear" w:color="auto" w:fill="D0CECE" w:themeFill="background2" w:themeFillShade="E6"/>
          </w:tcPr>
          <w:p w14:paraId="64EDC912" w14:textId="77777777" w:rsidR="00931B73" w:rsidRPr="00AC21F0" w:rsidRDefault="00931B73" w:rsidP="006A0740">
            <w:pPr>
              <w:spacing w:line="240" w:lineRule="atLeast"/>
              <w:jc w:val="center"/>
              <w:rPr>
                <w:rFonts w:ascii="Times New Roman" w:hAnsi="Times New Roman" w:cs="Times New Roman"/>
                <w:sz w:val="20"/>
                <w:szCs w:val="20"/>
              </w:rPr>
            </w:pPr>
            <w:r w:rsidRPr="00AC21F0">
              <w:rPr>
                <w:rFonts w:ascii="Times New Roman" w:hAnsi="Times New Roman" w:cs="Times New Roman"/>
                <w:sz w:val="20"/>
                <w:szCs w:val="20"/>
              </w:rPr>
              <w:t>Article 13</w:t>
            </w:r>
          </w:p>
          <w:p w14:paraId="33D0B877" w14:textId="2A0D80B3" w:rsidR="003C045B" w:rsidRPr="00AC21F0" w:rsidRDefault="00931B73" w:rsidP="006A0740">
            <w:pPr>
              <w:spacing w:line="240" w:lineRule="atLeast"/>
              <w:jc w:val="center"/>
              <w:rPr>
                <w:rFonts w:ascii="Times New Roman" w:eastAsia="Calibri" w:hAnsi="Times New Roman" w:cs="Times New Roman"/>
                <w:sz w:val="20"/>
                <w:szCs w:val="20"/>
                <w:lang w:val="en-US"/>
              </w:rPr>
            </w:pPr>
            <w:r w:rsidRPr="00AC21F0">
              <w:rPr>
                <w:rFonts w:ascii="Times New Roman" w:hAnsi="Times New Roman" w:cs="Times New Roman"/>
                <w:sz w:val="20"/>
                <w:szCs w:val="20"/>
              </w:rPr>
              <w:t>Information security and interoperability with International Systems</w:t>
            </w:r>
          </w:p>
        </w:tc>
        <w:tc>
          <w:tcPr>
            <w:tcW w:w="720" w:type="dxa"/>
            <w:shd w:val="clear" w:color="auto" w:fill="D0CECE" w:themeFill="background2" w:themeFillShade="E6"/>
          </w:tcPr>
          <w:p w14:paraId="69417B3B" w14:textId="249C425F"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3510" w:type="dxa"/>
            <w:shd w:val="clear" w:color="auto" w:fill="D0CECE" w:themeFill="background2" w:themeFillShade="E6"/>
          </w:tcPr>
          <w:p w14:paraId="102163A6" w14:textId="77777777" w:rsidR="003C045B" w:rsidRPr="00AC21F0" w:rsidRDefault="003C045B" w:rsidP="006A0740">
            <w:pPr>
              <w:spacing w:line="240" w:lineRule="atLeast"/>
              <w:rPr>
                <w:rFonts w:ascii="Times New Roman" w:eastAsia="Calibri" w:hAnsi="Times New Roman" w:cs="Times New Roman"/>
                <w:sz w:val="20"/>
                <w:szCs w:val="20"/>
                <w:lang w:val="en-US"/>
              </w:rPr>
            </w:pPr>
          </w:p>
        </w:tc>
      </w:tr>
      <w:tr w:rsidR="003C045B" w:rsidRPr="00AC21F0" w14:paraId="1E24074C" w14:textId="77777777" w:rsidTr="004738EE">
        <w:trPr>
          <w:trHeight w:val="195"/>
        </w:trPr>
        <w:tc>
          <w:tcPr>
            <w:tcW w:w="540" w:type="dxa"/>
          </w:tcPr>
          <w:p w14:paraId="38B76EEA" w14:textId="0FAAC394"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vMerge/>
          </w:tcPr>
          <w:p w14:paraId="7026E63D" w14:textId="4E82EC29" w:rsidR="003C045B" w:rsidRPr="00AC21F0" w:rsidRDefault="003C045B" w:rsidP="006A0740">
            <w:pPr>
              <w:spacing w:line="240" w:lineRule="atLeast"/>
              <w:jc w:val="both"/>
              <w:rPr>
                <w:rFonts w:ascii="Times New Roman" w:eastAsia="Calibri" w:hAnsi="Times New Roman" w:cs="Times New Roman"/>
                <w:iCs/>
                <w:sz w:val="20"/>
                <w:szCs w:val="20"/>
                <w:lang w:val="en-US"/>
              </w:rPr>
            </w:pPr>
          </w:p>
        </w:tc>
        <w:tc>
          <w:tcPr>
            <w:tcW w:w="450" w:type="dxa"/>
          </w:tcPr>
          <w:p w14:paraId="6C8670AB" w14:textId="0C12F663" w:rsidR="003C045B" w:rsidRPr="00AC21F0" w:rsidRDefault="003C045B" w:rsidP="006A0740">
            <w:pPr>
              <w:spacing w:line="240" w:lineRule="atLeast"/>
              <w:rPr>
                <w:rFonts w:ascii="Times New Roman" w:eastAsia="Calibri" w:hAnsi="Times New Roman" w:cs="Times New Roman"/>
                <w:sz w:val="20"/>
                <w:szCs w:val="20"/>
              </w:rPr>
            </w:pPr>
          </w:p>
        </w:tc>
        <w:tc>
          <w:tcPr>
            <w:tcW w:w="644" w:type="dxa"/>
          </w:tcPr>
          <w:p w14:paraId="1B101488" w14:textId="38D63098" w:rsidR="003C045B" w:rsidRPr="00AC21F0" w:rsidRDefault="003C045B" w:rsidP="006A0740">
            <w:pPr>
              <w:spacing w:line="240" w:lineRule="atLeast"/>
              <w:rPr>
                <w:rFonts w:ascii="Times New Roman" w:eastAsia="Calibri" w:hAnsi="Times New Roman" w:cs="Times New Roman"/>
                <w:sz w:val="20"/>
                <w:szCs w:val="20"/>
                <w:lang w:val="en-US"/>
              </w:rPr>
            </w:pPr>
          </w:p>
        </w:tc>
        <w:tc>
          <w:tcPr>
            <w:tcW w:w="5040" w:type="dxa"/>
            <w:tcBorders>
              <w:bottom w:val="dashed" w:sz="4" w:space="0" w:color="auto"/>
            </w:tcBorders>
          </w:tcPr>
          <w:p w14:paraId="07B70735" w14:textId="77777777" w:rsidR="00931B73" w:rsidRPr="00AC21F0" w:rsidRDefault="00931B73" w:rsidP="006A0740">
            <w:pPr>
              <w:spacing w:line="240" w:lineRule="atLeast"/>
              <w:rPr>
                <w:rFonts w:ascii="Times New Roman" w:hAnsi="Times New Roman" w:cs="Times New Roman"/>
                <w:sz w:val="20"/>
                <w:szCs w:val="20"/>
              </w:rPr>
            </w:pPr>
            <w:r w:rsidRPr="00AC21F0">
              <w:rPr>
                <w:rFonts w:ascii="Times New Roman" w:hAnsi="Times New Roman" w:cs="Times New Roman"/>
                <w:sz w:val="20"/>
                <w:szCs w:val="20"/>
              </w:rPr>
              <w:t>1.</w:t>
            </w:r>
            <w:r w:rsidRPr="00AC21F0">
              <w:rPr>
                <w:rFonts w:ascii="Times New Roman" w:hAnsi="Times New Roman" w:cs="Times New Roman"/>
                <w:sz w:val="20"/>
                <w:szCs w:val="20"/>
              </w:rPr>
              <w:tab/>
              <w:t>The General Directorate of Taxation shall ensure technical interoperability with the CESOP, in compliance with Eurofisc procedures and information security standards.</w:t>
            </w:r>
          </w:p>
          <w:p w14:paraId="139C4084" w14:textId="77777777" w:rsidR="00931B73" w:rsidRPr="00AC21F0" w:rsidRDefault="00931B73" w:rsidP="006A0740">
            <w:pPr>
              <w:spacing w:line="240" w:lineRule="atLeast"/>
              <w:rPr>
                <w:rFonts w:ascii="Times New Roman" w:hAnsi="Times New Roman" w:cs="Times New Roman"/>
                <w:sz w:val="20"/>
                <w:szCs w:val="20"/>
              </w:rPr>
            </w:pPr>
          </w:p>
          <w:p w14:paraId="6C63CDA2" w14:textId="77777777" w:rsidR="00931B73" w:rsidRPr="00AC21F0" w:rsidRDefault="00931B73" w:rsidP="006A0740">
            <w:pPr>
              <w:spacing w:line="240" w:lineRule="atLeast"/>
              <w:rPr>
                <w:rFonts w:ascii="Times New Roman" w:hAnsi="Times New Roman" w:cs="Times New Roman"/>
                <w:sz w:val="20"/>
                <w:szCs w:val="20"/>
              </w:rPr>
            </w:pPr>
            <w:r w:rsidRPr="00AC21F0">
              <w:rPr>
                <w:rFonts w:ascii="Times New Roman" w:hAnsi="Times New Roman" w:cs="Times New Roman"/>
                <w:sz w:val="20"/>
                <w:szCs w:val="20"/>
              </w:rPr>
              <w:t>2.</w:t>
            </w:r>
            <w:r w:rsidRPr="00AC21F0">
              <w:rPr>
                <w:rFonts w:ascii="Times New Roman" w:hAnsi="Times New Roman" w:cs="Times New Roman"/>
                <w:sz w:val="20"/>
                <w:szCs w:val="20"/>
              </w:rPr>
              <w:tab/>
              <w:t>All reported and transmitted data shall be protected through encryption, electronic signatures and security protocols, ensuring their confidentiality, integrity and availability.</w:t>
            </w:r>
          </w:p>
          <w:p w14:paraId="4BD4BD35" w14:textId="77777777" w:rsidR="00931B73" w:rsidRPr="00AC21F0" w:rsidRDefault="00931B73" w:rsidP="006A0740">
            <w:pPr>
              <w:spacing w:line="240" w:lineRule="atLeast"/>
              <w:rPr>
                <w:rFonts w:ascii="Times New Roman" w:hAnsi="Times New Roman" w:cs="Times New Roman"/>
                <w:sz w:val="20"/>
                <w:szCs w:val="20"/>
              </w:rPr>
            </w:pPr>
          </w:p>
          <w:p w14:paraId="3B6B6FBF" w14:textId="5E2A9EDD" w:rsidR="00931B73" w:rsidRPr="00AC21F0" w:rsidRDefault="00931B73" w:rsidP="006A0740">
            <w:pPr>
              <w:spacing w:line="240" w:lineRule="atLeast"/>
              <w:rPr>
                <w:rFonts w:ascii="Times New Roman" w:hAnsi="Times New Roman" w:cs="Times New Roman"/>
                <w:sz w:val="20"/>
                <w:szCs w:val="20"/>
              </w:rPr>
            </w:pPr>
            <w:r w:rsidRPr="00AC21F0">
              <w:rPr>
                <w:rFonts w:ascii="Times New Roman" w:hAnsi="Times New Roman" w:cs="Times New Roman"/>
                <w:sz w:val="20"/>
                <w:szCs w:val="20"/>
              </w:rPr>
              <w:t>3.</w:t>
            </w:r>
            <w:r w:rsidRPr="00AC21F0">
              <w:rPr>
                <w:rFonts w:ascii="Times New Roman" w:hAnsi="Times New Roman" w:cs="Times New Roman"/>
                <w:sz w:val="20"/>
                <w:szCs w:val="20"/>
              </w:rPr>
              <w:tab/>
              <w:t xml:space="preserve">Supervision of compliance with the rules on the protection of personal data in implementation of this Law shall be carried out by the Commissioner for the Protection of Personal Data, in accordance with the national legislation and Regulation (EU) </w:t>
            </w:r>
            <w:r w:rsidR="00BF1CFB" w:rsidRPr="00AC21F0">
              <w:rPr>
                <w:rFonts w:ascii="Times New Roman" w:hAnsi="Times New Roman" w:cs="Times New Roman"/>
                <w:sz w:val="20"/>
                <w:szCs w:val="20"/>
              </w:rPr>
              <w:t xml:space="preserve">no. </w:t>
            </w:r>
            <w:r w:rsidRPr="00AC21F0">
              <w:rPr>
                <w:rFonts w:ascii="Times New Roman" w:hAnsi="Times New Roman" w:cs="Times New Roman"/>
                <w:sz w:val="20"/>
                <w:szCs w:val="20"/>
              </w:rPr>
              <w:t>2016/679 (GDPR).</w:t>
            </w:r>
          </w:p>
          <w:p w14:paraId="23AAD5E5" w14:textId="77777777" w:rsidR="00931B73" w:rsidRPr="00AC21F0" w:rsidRDefault="00931B73" w:rsidP="006A0740">
            <w:pPr>
              <w:spacing w:line="240" w:lineRule="atLeast"/>
              <w:rPr>
                <w:rFonts w:ascii="Times New Roman" w:hAnsi="Times New Roman" w:cs="Times New Roman"/>
                <w:sz w:val="20"/>
                <w:szCs w:val="20"/>
              </w:rPr>
            </w:pPr>
          </w:p>
          <w:p w14:paraId="52F0762E" w14:textId="4CC5FE5E" w:rsidR="003C045B" w:rsidRPr="00AC21F0" w:rsidRDefault="00931B73" w:rsidP="006A0740">
            <w:pPr>
              <w:spacing w:line="240" w:lineRule="atLeast"/>
              <w:jc w:val="both"/>
              <w:rPr>
                <w:rFonts w:ascii="Times New Roman" w:eastAsia="Calibri" w:hAnsi="Times New Roman" w:cs="Times New Roman"/>
                <w:sz w:val="20"/>
                <w:szCs w:val="20"/>
              </w:rPr>
            </w:pPr>
            <w:r w:rsidRPr="00AC21F0">
              <w:rPr>
                <w:rFonts w:ascii="Times New Roman" w:hAnsi="Times New Roman" w:cs="Times New Roman"/>
                <w:sz w:val="20"/>
                <w:szCs w:val="20"/>
              </w:rPr>
              <w:t>4.</w:t>
            </w:r>
            <w:r w:rsidRPr="00AC21F0">
              <w:rPr>
                <w:rFonts w:ascii="Times New Roman" w:hAnsi="Times New Roman" w:cs="Times New Roman"/>
                <w:sz w:val="20"/>
                <w:szCs w:val="20"/>
              </w:rPr>
              <w:tab/>
              <w:t>Access to the data collected and transmitted shall be permitted only to persons authorised by the competent authorities, referred to in Article 11, paragraph 2, for the purposes defined in this Law.</w:t>
            </w:r>
          </w:p>
        </w:tc>
        <w:tc>
          <w:tcPr>
            <w:tcW w:w="720" w:type="dxa"/>
            <w:tcBorders>
              <w:bottom w:val="dashed" w:sz="4" w:space="0" w:color="auto"/>
            </w:tcBorders>
          </w:tcPr>
          <w:p w14:paraId="6DF29534" w14:textId="6AB4E7B3" w:rsidR="003C045B" w:rsidRPr="00AC21F0" w:rsidRDefault="003C045B" w:rsidP="006A0740">
            <w:pPr>
              <w:spacing w:line="240" w:lineRule="atLeast"/>
              <w:jc w:val="center"/>
              <w:rPr>
                <w:rFonts w:ascii="Times New Roman" w:eastAsia="Calibri" w:hAnsi="Times New Roman" w:cs="Times New Roman"/>
                <w:sz w:val="20"/>
                <w:szCs w:val="20"/>
                <w:lang w:val="en-US"/>
              </w:rPr>
            </w:pPr>
            <w:r w:rsidRPr="00AC21F0">
              <w:rPr>
                <w:rFonts w:ascii="Times New Roman" w:eastAsia="Calibri" w:hAnsi="Times New Roman" w:cs="Times New Roman"/>
                <w:sz w:val="20"/>
                <w:szCs w:val="20"/>
                <w:lang w:val="en-US"/>
              </w:rPr>
              <w:t>F</w:t>
            </w:r>
          </w:p>
        </w:tc>
        <w:tc>
          <w:tcPr>
            <w:tcW w:w="3510" w:type="dxa"/>
            <w:tcBorders>
              <w:bottom w:val="dashed" w:sz="4" w:space="0" w:color="auto"/>
            </w:tcBorders>
          </w:tcPr>
          <w:p w14:paraId="0D3FD790" w14:textId="62BC323D" w:rsidR="00C72765" w:rsidRPr="00AC21F0" w:rsidRDefault="0009621F" w:rsidP="006A0740">
            <w:pPr>
              <w:pBdr>
                <w:top w:val="nil"/>
                <w:left w:val="nil"/>
                <w:bottom w:val="nil"/>
                <w:right w:val="nil"/>
                <w:between w:val="nil"/>
              </w:pBdr>
              <w:spacing w:before="120" w:line="240" w:lineRule="atLeast"/>
              <w:jc w:val="both"/>
              <w:rPr>
                <w:rFonts w:ascii="Times New Roman" w:eastAsia="Times New Roman" w:hAnsi="Times New Roman" w:cs="Times New Roman"/>
                <w:color w:val="000000" w:themeColor="text1"/>
                <w:sz w:val="20"/>
                <w:szCs w:val="20"/>
                <w:lang w:val="en-US"/>
              </w:rPr>
            </w:pPr>
            <w:r w:rsidRPr="00AC21F0">
              <w:rPr>
                <w:rFonts w:ascii="Times New Roman" w:eastAsia="Times New Roman" w:hAnsi="Times New Roman" w:cs="Times New Roman"/>
                <w:color w:val="000000" w:themeColor="text1"/>
                <w:sz w:val="20"/>
                <w:szCs w:val="20"/>
                <w:lang w:val="en-US"/>
              </w:rPr>
              <w:t>C</w:t>
            </w:r>
            <w:r w:rsidR="003C045B" w:rsidRPr="00AC21F0">
              <w:rPr>
                <w:rFonts w:ascii="Times New Roman" w:eastAsia="Times New Roman" w:hAnsi="Times New Roman" w:cs="Times New Roman"/>
                <w:color w:val="000000" w:themeColor="text1"/>
                <w:sz w:val="20"/>
                <w:szCs w:val="20"/>
                <w:lang w:val="en-US"/>
              </w:rPr>
              <w:t>ompliant</w:t>
            </w:r>
            <w:r w:rsidR="00C72765" w:rsidRPr="00AC21F0">
              <w:rPr>
                <w:rFonts w:ascii="Times New Roman" w:eastAsia="Times New Roman" w:hAnsi="Times New Roman" w:cs="Times New Roman"/>
                <w:color w:val="000000" w:themeColor="text1"/>
                <w:sz w:val="20"/>
                <w:szCs w:val="20"/>
                <w:lang w:val="en-US"/>
              </w:rPr>
              <w:t>.</w:t>
            </w:r>
          </w:p>
          <w:p w14:paraId="21036423" w14:textId="5CF71079" w:rsidR="003C045B" w:rsidRPr="00AC21F0" w:rsidRDefault="003C045B" w:rsidP="006A0740">
            <w:pPr>
              <w:pBdr>
                <w:top w:val="nil"/>
                <w:left w:val="nil"/>
                <w:bottom w:val="nil"/>
                <w:right w:val="nil"/>
                <w:between w:val="nil"/>
              </w:pBdr>
              <w:spacing w:before="120" w:line="240" w:lineRule="atLeast"/>
              <w:jc w:val="both"/>
              <w:rPr>
                <w:rFonts w:ascii="Times New Roman" w:eastAsia="Times New Roman" w:hAnsi="Times New Roman" w:cs="Times New Roman"/>
                <w:sz w:val="20"/>
                <w:szCs w:val="20"/>
                <w:lang w:val="en-US"/>
              </w:rPr>
            </w:pPr>
            <w:r w:rsidRPr="00AC21F0">
              <w:rPr>
                <w:rFonts w:ascii="Times New Roman" w:eastAsia="Times New Roman" w:hAnsi="Times New Roman" w:cs="Times New Roman"/>
                <w:color w:val="000000" w:themeColor="text1"/>
                <w:sz w:val="20"/>
                <w:szCs w:val="20"/>
                <w:lang w:val="en-US"/>
              </w:rPr>
              <w:t xml:space="preserve"> </w:t>
            </w:r>
            <w:r w:rsidRPr="00AC21F0">
              <w:rPr>
                <w:rFonts w:ascii="Times New Roman" w:eastAsia="Times New Roman" w:hAnsi="Times New Roman" w:cs="Times New Roman"/>
                <w:sz w:val="20"/>
                <w:szCs w:val="20"/>
                <w:lang w:val="en-US"/>
              </w:rPr>
              <w:br/>
              <w:t>Article 13 transposes the requirements of Article 7 of Implementing Regulation (EU) 2022/1504, including:</w:t>
            </w:r>
          </w:p>
          <w:p w14:paraId="1A2565AA" w14:textId="77777777" w:rsidR="003C045B" w:rsidRPr="00AC21F0" w:rsidRDefault="003C045B" w:rsidP="006A0740">
            <w:pPr>
              <w:numPr>
                <w:ilvl w:val="0"/>
                <w:numId w:val="17"/>
              </w:numPr>
              <w:pBdr>
                <w:top w:val="nil"/>
                <w:left w:val="nil"/>
                <w:bottom w:val="nil"/>
                <w:right w:val="nil"/>
                <w:between w:val="nil"/>
              </w:pBdr>
              <w:tabs>
                <w:tab w:val="num" w:pos="720"/>
              </w:tabs>
              <w:spacing w:before="120" w:line="240" w:lineRule="atLeast"/>
              <w:jc w:val="both"/>
              <w:rPr>
                <w:rFonts w:ascii="Times New Roman" w:eastAsia="Times New Roman" w:hAnsi="Times New Roman" w:cs="Times New Roman"/>
                <w:sz w:val="20"/>
                <w:szCs w:val="20"/>
                <w:lang w:val="en-US"/>
              </w:rPr>
            </w:pPr>
            <w:r w:rsidRPr="00AC21F0">
              <w:rPr>
                <w:rFonts w:ascii="Times New Roman" w:eastAsia="Times New Roman" w:hAnsi="Times New Roman" w:cs="Times New Roman"/>
                <w:sz w:val="20"/>
                <w:szCs w:val="20"/>
                <w:lang w:val="en-US"/>
              </w:rPr>
              <w:t xml:space="preserve">technical interaction with CESOP and </w:t>
            </w:r>
            <w:proofErr w:type="spellStart"/>
            <w:r w:rsidRPr="00AC21F0">
              <w:rPr>
                <w:rFonts w:ascii="Times New Roman" w:eastAsia="Times New Roman" w:hAnsi="Times New Roman" w:cs="Times New Roman"/>
                <w:sz w:val="20"/>
                <w:szCs w:val="20"/>
                <w:lang w:val="en-US"/>
              </w:rPr>
              <w:t>Eurofisc</w:t>
            </w:r>
            <w:proofErr w:type="spellEnd"/>
            <w:r w:rsidRPr="00AC21F0">
              <w:rPr>
                <w:rFonts w:ascii="Times New Roman" w:eastAsia="Times New Roman" w:hAnsi="Times New Roman" w:cs="Times New Roman"/>
                <w:sz w:val="20"/>
                <w:szCs w:val="20"/>
                <w:lang w:val="en-US"/>
              </w:rPr>
              <w:t>,</w:t>
            </w:r>
          </w:p>
          <w:p w14:paraId="27B9E128" w14:textId="77777777" w:rsidR="003C045B" w:rsidRPr="00AC21F0" w:rsidRDefault="003C045B" w:rsidP="006A0740">
            <w:pPr>
              <w:numPr>
                <w:ilvl w:val="0"/>
                <w:numId w:val="17"/>
              </w:numPr>
              <w:pBdr>
                <w:top w:val="nil"/>
                <w:left w:val="nil"/>
                <w:bottom w:val="nil"/>
                <w:right w:val="nil"/>
                <w:between w:val="nil"/>
              </w:pBdr>
              <w:tabs>
                <w:tab w:val="num" w:pos="720"/>
              </w:tabs>
              <w:spacing w:before="120" w:line="240" w:lineRule="atLeast"/>
              <w:jc w:val="both"/>
              <w:rPr>
                <w:rFonts w:ascii="Times New Roman" w:eastAsia="Times New Roman" w:hAnsi="Times New Roman" w:cs="Times New Roman"/>
                <w:sz w:val="20"/>
                <w:szCs w:val="20"/>
                <w:lang w:val="en-US"/>
              </w:rPr>
            </w:pPr>
            <w:r w:rsidRPr="00AC21F0">
              <w:rPr>
                <w:rFonts w:ascii="Times New Roman" w:eastAsia="Times New Roman" w:hAnsi="Times New Roman" w:cs="Times New Roman"/>
                <w:sz w:val="20"/>
                <w:szCs w:val="20"/>
                <w:lang w:val="en-US"/>
              </w:rPr>
              <w:t>guaranteeing information security (confidentiality, integrity, availability),</w:t>
            </w:r>
          </w:p>
          <w:p w14:paraId="20FF906D" w14:textId="77777777" w:rsidR="003C045B" w:rsidRPr="00AC21F0" w:rsidRDefault="003C045B" w:rsidP="006A0740">
            <w:pPr>
              <w:numPr>
                <w:ilvl w:val="0"/>
                <w:numId w:val="17"/>
              </w:numPr>
              <w:pBdr>
                <w:top w:val="nil"/>
                <w:left w:val="nil"/>
                <w:bottom w:val="nil"/>
                <w:right w:val="nil"/>
                <w:between w:val="nil"/>
              </w:pBdr>
              <w:tabs>
                <w:tab w:val="num" w:pos="720"/>
              </w:tabs>
              <w:spacing w:before="120" w:line="240" w:lineRule="atLeast"/>
              <w:jc w:val="both"/>
              <w:rPr>
                <w:rFonts w:ascii="Times New Roman" w:eastAsia="Times New Roman" w:hAnsi="Times New Roman" w:cs="Times New Roman"/>
                <w:sz w:val="20"/>
                <w:szCs w:val="20"/>
                <w:lang w:val="en-US"/>
              </w:rPr>
            </w:pPr>
            <w:r w:rsidRPr="00AC21F0">
              <w:rPr>
                <w:rFonts w:ascii="Times New Roman" w:eastAsia="Times New Roman" w:hAnsi="Times New Roman" w:cs="Times New Roman"/>
                <w:sz w:val="20"/>
                <w:szCs w:val="20"/>
                <w:lang w:val="en-US"/>
              </w:rPr>
              <w:t>supervision by the national data protection authority,</w:t>
            </w:r>
          </w:p>
          <w:p w14:paraId="075477B9" w14:textId="68E0430C" w:rsidR="003C045B" w:rsidRPr="00AC21F0" w:rsidRDefault="003C045B" w:rsidP="006A0740">
            <w:pPr>
              <w:numPr>
                <w:ilvl w:val="0"/>
                <w:numId w:val="17"/>
              </w:numPr>
              <w:pBdr>
                <w:top w:val="nil"/>
                <w:left w:val="nil"/>
                <w:bottom w:val="nil"/>
                <w:right w:val="nil"/>
                <w:between w:val="nil"/>
              </w:pBdr>
              <w:tabs>
                <w:tab w:val="num" w:pos="720"/>
              </w:tabs>
              <w:spacing w:before="120" w:line="240" w:lineRule="atLeast"/>
              <w:jc w:val="both"/>
              <w:rPr>
                <w:rFonts w:ascii="Times New Roman" w:eastAsia="Times New Roman" w:hAnsi="Times New Roman" w:cs="Times New Roman"/>
                <w:sz w:val="20"/>
                <w:szCs w:val="20"/>
                <w:lang w:val="en-US"/>
              </w:rPr>
            </w:pPr>
            <w:r w:rsidRPr="00AC21F0">
              <w:rPr>
                <w:rFonts w:ascii="Times New Roman" w:eastAsia="Times New Roman" w:hAnsi="Times New Roman" w:cs="Times New Roman"/>
                <w:sz w:val="20"/>
                <w:szCs w:val="20"/>
                <w:lang w:val="en-US"/>
              </w:rPr>
              <w:t xml:space="preserve">and restriction of access only to authorized </w:t>
            </w:r>
            <w:r w:rsidR="00C72765" w:rsidRPr="00AC21F0">
              <w:rPr>
                <w:rFonts w:ascii="Times New Roman" w:eastAsia="Times New Roman" w:hAnsi="Times New Roman" w:cs="Times New Roman"/>
                <w:sz w:val="20"/>
                <w:szCs w:val="20"/>
                <w:lang w:val="en-US"/>
              </w:rPr>
              <w:t>officials</w:t>
            </w:r>
            <w:r w:rsidRPr="00AC21F0">
              <w:rPr>
                <w:rFonts w:ascii="Times New Roman" w:eastAsia="Times New Roman" w:hAnsi="Times New Roman" w:cs="Times New Roman"/>
                <w:sz w:val="20"/>
                <w:szCs w:val="20"/>
                <w:lang w:val="en-US"/>
              </w:rPr>
              <w:t>.</w:t>
            </w:r>
          </w:p>
          <w:p w14:paraId="0E52EB92" w14:textId="72E6EF2F" w:rsidR="003C045B" w:rsidRPr="00AC21F0" w:rsidRDefault="003C045B" w:rsidP="006A0740">
            <w:pPr>
              <w:tabs>
                <w:tab w:val="left" w:pos="1425"/>
              </w:tabs>
              <w:spacing w:line="240" w:lineRule="atLeast"/>
              <w:rPr>
                <w:rFonts w:ascii="Times New Roman" w:eastAsia="Calibri" w:hAnsi="Times New Roman" w:cs="Times New Roman"/>
                <w:sz w:val="20"/>
                <w:szCs w:val="20"/>
                <w:lang w:val="en-US"/>
              </w:rPr>
            </w:pPr>
          </w:p>
        </w:tc>
      </w:tr>
      <w:tr w:rsidR="003C045B" w:rsidRPr="00AC21F0" w14:paraId="0355879C" w14:textId="77777777" w:rsidTr="00990A3C">
        <w:tc>
          <w:tcPr>
            <w:tcW w:w="540" w:type="dxa"/>
            <w:shd w:val="clear" w:color="auto" w:fill="D0CECE" w:themeFill="background2" w:themeFillShade="E6"/>
          </w:tcPr>
          <w:p w14:paraId="0ED479F4" w14:textId="77777777" w:rsidR="003C045B" w:rsidRPr="00AC21F0" w:rsidRDefault="003C045B" w:rsidP="006A0740">
            <w:pPr>
              <w:spacing w:line="240" w:lineRule="atLeast"/>
              <w:jc w:val="center"/>
              <w:rPr>
                <w:rFonts w:ascii="Times New Roman" w:eastAsia="Calibri" w:hAnsi="Times New Roman" w:cs="Times New Roman"/>
                <w:i/>
                <w:iCs/>
                <w:sz w:val="20"/>
                <w:szCs w:val="20"/>
                <w:lang w:val="en-US"/>
              </w:rPr>
            </w:pPr>
          </w:p>
        </w:tc>
        <w:tc>
          <w:tcPr>
            <w:tcW w:w="5400" w:type="dxa"/>
            <w:shd w:val="clear" w:color="auto" w:fill="D0CECE" w:themeFill="background2" w:themeFillShade="E6"/>
          </w:tcPr>
          <w:p w14:paraId="42E0F0F4" w14:textId="777D0E83" w:rsidR="003C045B" w:rsidRPr="00AC21F0" w:rsidRDefault="003C045B" w:rsidP="006A0740">
            <w:pPr>
              <w:pStyle w:val="oj-ti-art"/>
              <w:shd w:val="clear" w:color="auto" w:fill="FFFFFF"/>
              <w:spacing w:before="360" w:beforeAutospacing="0" w:after="120" w:afterAutospacing="0" w:line="240" w:lineRule="atLeast"/>
              <w:jc w:val="center"/>
              <w:rPr>
                <w:i/>
                <w:iCs/>
                <w:color w:val="333333"/>
                <w:sz w:val="20"/>
                <w:szCs w:val="20"/>
              </w:rPr>
            </w:pPr>
            <w:r w:rsidRPr="00AC21F0">
              <w:rPr>
                <w:i/>
                <w:iCs/>
                <w:color w:val="333333"/>
                <w:sz w:val="20"/>
                <w:szCs w:val="20"/>
              </w:rPr>
              <w:t>Article 273</w:t>
            </w:r>
            <w:r w:rsidRPr="00AC21F0">
              <w:rPr>
                <w:rStyle w:val="Strong"/>
                <w:rFonts w:eastAsia="Calibri"/>
                <w:b w:val="0"/>
                <w:bCs w:val="0"/>
                <w:i/>
                <w:iCs/>
                <w:sz w:val="20"/>
                <w:szCs w:val="20"/>
              </w:rPr>
              <w:t xml:space="preserve"> of Directive 2006/112/EC</w:t>
            </w:r>
          </w:p>
          <w:p w14:paraId="08573EAA" w14:textId="27FE1A80" w:rsidR="003C045B" w:rsidRPr="00AC21F0" w:rsidRDefault="003C045B" w:rsidP="006A0740">
            <w:pPr>
              <w:pStyle w:val="Heading1"/>
              <w:spacing w:line="240" w:lineRule="atLeast"/>
              <w:rPr>
                <w:rFonts w:ascii="Times New Roman" w:eastAsia="Calibri" w:hAnsi="Times New Roman" w:cs="Times New Roman"/>
                <w:i/>
                <w:iCs/>
                <w:color w:val="auto"/>
                <w:sz w:val="20"/>
                <w:szCs w:val="20"/>
                <w:lang w:val="en-US"/>
              </w:rPr>
            </w:pPr>
          </w:p>
        </w:tc>
        <w:tc>
          <w:tcPr>
            <w:tcW w:w="450" w:type="dxa"/>
            <w:shd w:val="clear" w:color="auto" w:fill="D0CECE" w:themeFill="background2" w:themeFillShade="E6"/>
          </w:tcPr>
          <w:p w14:paraId="0C241C0A" w14:textId="77777777" w:rsidR="003C045B" w:rsidRPr="00AC21F0" w:rsidRDefault="003C045B" w:rsidP="006A0740">
            <w:pPr>
              <w:spacing w:line="240" w:lineRule="atLeast"/>
              <w:jc w:val="center"/>
              <w:rPr>
                <w:rFonts w:ascii="Times New Roman" w:eastAsia="Calibri" w:hAnsi="Times New Roman" w:cs="Times New Roman"/>
                <w:i/>
                <w:iCs/>
                <w:sz w:val="20"/>
                <w:szCs w:val="20"/>
              </w:rPr>
            </w:pPr>
          </w:p>
        </w:tc>
        <w:tc>
          <w:tcPr>
            <w:tcW w:w="644" w:type="dxa"/>
            <w:shd w:val="clear" w:color="auto" w:fill="D0CECE" w:themeFill="background2" w:themeFillShade="E6"/>
          </w:tcPr>
          <w:p w14:paraId="5B382756" w14:textId="5BEF7338" w:rsidR="003C045B" w:rsidRPr="00AC21F0" w:rsidRDefault="003C045B" w:rsidP="006A0740">
            <w:pPr>
              <w:spacing w:line="240" w:lineRule="atLeast"/>
              <w:jc w:val="center"/>
              <w:rPr>
                <w:rFonts w:ascii="Times New Roman" w:eastAsia="Calibri" w:hAnsi="Times New Roman" w:cs="Times New Roman"/>
                <w:i/>
                <w:iCs/>
                <w:sz w:val="20"/>
                <w:szCs w:val="20"/>
                <w:lang w:val="en-US"/>
              </w:rPr>
            </w:pPr>
          </w:p>
        </w:tc>
        <w:tc>
          <w:tcPr>
            <w:tcW w:w="5040" w:type="dxa"/>
            <w:shd w:val="clear" w:color="auto" w:fill="D0CECE" w:themeFill="background2" w:themeFillShade="E6"/>
          </w:tcPr>
          <w:p w14:paraId="52F55B4A" w14:textId="77777777" w:rsidR="00931B73" w:rsidRPr="00AC21F0" w:rsidRDefault="00931B73" w:rsidP="006A0740">
            <w:pPr>
              <w:spacing w:line="240" w:lineRule="atLeast"/>
              <w:jc w:val="center"/>
              <w:rPr>
                <w:rFonts w:ascii="Times New Roman" w:hAnsi="Times New Roman" w:cs="Times New Roman"/>
                <w:iCs/>
                <w:sz w:val="20"/>
                <w:szCs w:val="20"/>
              </w:rPr>
            </w:pPr>
            <w:r w:rsidRPr="00AC21F0">
              <w:rPr>
                <w:rFonts w:ascii="Times New Roman" w:hAnsi="Times New Roman" w:cs="Times New Roman"/>
                <w:iCs/>
                <w:sz w:val="20"/>
                <w:szCs w:val="20"/>
              </w:rPr>
              <w:t>Article 14</w:t>
            </w:r>
          </w:p>
          <w:p w14:paraId="1449F832" w14:textId="69128868" w:rsidR="003C045B" w:rsidRPr="00AC21F0" w:rsidRDefault="00931B73" w:rsidP="006A0740">
            <w:pPr>
              <w:spacing w:line="240" w:lineRule="atLeast"/>
              <w:jc w:val="center"/>
              <w:rPr>
                <w:rFonts w:ascii="Times New Roman" w:eastAsia="Calibri" w:hAnsi="Times New Roman" w:cs="Times New Roman"/>
                <w:i/>
                <w:iCs/>
                <w:sz w:val="20"/>
                <w:szCs w:val="20"/>
              </w:rPr>
            </w:pPr>
            <w:r w:rsidRPr="00AC21F0">
              <w:rPr>
                <w:rFonts w:ascii="Times New Roman" w:hAnsi="Times New Roman" w:cs="Times New Roman"/>
                <w:iCs/>
                <w:sz w:val="20"/>
                <w:szCs w:val="20"/>
              </w:rPr>
              <w:t>Administrative offences and sanctions</w:t>
            </w:r>
          </w:p>
        </w:tc>
        <w:tc>
          <w:tcPr>
            <w:tcW w:w="720" w:type="dxa"/>
            <w:shd w:val="clear" w:color="auto" w:fill="D0CECE" w:themeFill="background2" w:themeFillShade="E6"/>
          </w:tcPr>
          <w:p w14:paraId="74C3437E" w14:textId="77777777" w:rsidR="003C045B" w:rsidRPr="00AC21F0" w:rsidRDefault="003C045B" w:rsidP="006A0740">
            <w:pPr>
              <w:spacing w:line="240" w:lineRule="atLeast"/>
              <w:jc w:val="center"/>
              <w:rPr>
                <w:rFonts w:ascii="Times New Roman" w:eastAsia="Calibri" w:hAnsi="Times New Roman" w:cs="Times New Roman"/>
                <w:i/>
                <w:iCs/>
                <w:sz w:val="20"/>
                <w:szCs w:val="20"/>
                <w:lang w:val="en-US"/>
              </w:rPr>
            </w:pPr>
          </w:p>
        </w:tc>
        <w:tc>
          <w:tcPr>
            <w:tcW w:w="3510" w:type="dxa"/>
            <w:shd w:val="clear" w:color="auto" w:fill="D0CECE" w:themeFill="background2" w:themeFillShade="E6"/>
          </w:tcPr>
          <w:p w14:paraId="020134DC" w14:textId="77777777" w:rsidR="003C045B" w:rsidRPr="00AC21F0" w:rsidRDefault="003C045B" w:rsidP="006A0740">
            <w:pPr>
              <w:spacing w:line="240" w:lineRule="atLeast"/>
              <w:rPr>
                <w:rFonts w:ascii="Times New Roman" w:eastAsia="Calibri" w:hAnsi="Times New Roman" w:cs="Times New Roman"/>
                <w:i/>
                <w:iCs/>
                <w:sz w:val="20"/>
                <w:szCs w:val="20"/>
                <w:lang w:val="en-US"/>
              </w:rPr>
            </w:pPr>
          </w:p>
        </w:tc>
      </w:tr>
      <w:tr w:rsidR="003C045B" w:rsidRPr="00AC21F0" w14:paraId="07041DF6" w14:textId="77777777" w:rsidTr="004738EE">
        <w:tc>
          <w:tcPr>
            <w:tcW w:w="540" w:type="dxa"/>
            <w:shd w:val="clear" w:color="auto" w:fill="F2F2F2"/>
          </w:tcPr>
          <w:p w14:paraId="03401B2F" w14:textId="77777777" w:rsidR="003C045B" w:rsidRPr="00AC21F0" w:rsidRDefault="003C045B" w:rsidP="006A0740">
            <w:pPr>
              <w:spacing w:line="240" w:lineRule="atLeast"/>
              <w:jc w:val="center"/>
              <w:rPr>
                <w:rFonts w:ascii="Times New Roman" w:eastAsia="Calibri" w:hAnsi="Times New Roman" w:cs="Times New Roman"/>
                <w:i/>
                <w:sz w:val="20"/>
                <w:szCs w:val="20"/>
                <w:lang w:val="en-US"/>
              </w:rPr>
            </w:pPr>
          </w:p>
        </w:tc>
        <w:tc>
          <w:tcPr>
            <w:tcW w:w="5400" w:type="dxa"/>
            <w:shd w:val="clear" w:color="auto" w:fill="F2F2F2"/>
          </w:tcPr>
          <w:p w14:paraId="7C89E196" w14:textId="77777777" w:rsidR="003C045B" w:rsidRPr="00AC21F0" w:rsidRDefault="003C045B" w:rsidP="006A0740">
            <w:pPr>
              <w:pStyle w:val="oj-normal"/>
              <w:shd w:val="clear" w:color="auto" w:fill="FFFFFF"/>
              <w:spacing w:before="120" w:beforeAutospacing="0" w:after="0" w:afterAutospacing="0" w:line="240" w:lineRule="atLeast"/>
              <w:jc w:val="both"/>
              <w:rPr>
                <w:color w:val="333333"/>
                <w:sz w:val="20"/>
                <w:szCs w:val="20"/>
              </w:rPr>
            </w:pPr>
            <w:r w:rsidRPr="00AC21F0">
              <w:rPr>
                <w:color w:val="333333"/>
                <w:sz w:val="20"/>
                <w:szCs w:val="20"/>
              </w:rPr>
              <w:t>Member States may impose other obligations which they deem necessary to ensure the correct collection of VAT and to prevent evasion, subject to the requirement of equal treatment as between domestic transactions and transactions carried out between Member States by taxable persons and provided that such obligations do not, in trade between Member States, give rise to formalities connected with the crossing of frontiers.</w:t>
            </w:r>
          </w:p>
          <w:p w14:paraId="50A03AB1" w14:textId="77777777" w:rsidR="003C045B" w:rsidRPr="00AC21F0" w:rsidRDefault="003C045B" w:rsidP="006A0740">
            <w:pPr>
              <w:pStyle w:val="oj-normal"/>
              <w:shd w:val="clear" w:color="auto" w:fill="FFFFFF"/>
              <w:spacing w:before="120" w:beforeAutospacing="0" w:after="0" w:afterAutospacing="0" w:line="240" w:lineRule="atLeast"/>
              <w:jc w:val="both"/>
              <w:rPr>
                <w:color w:val="333333"/>
                <w:sz w:val="20"/>
                <w:szCs w:val="20"/>
              </w:rPr>
            </w:pPr>
            <w:r w:rsidRPr="00AC21F0">
              <w:rPr>
                <w:color w:val="333333"/>
                <w:sz w:val="20"/>
                <w:szCs w:val="20"/>
              </w:rPr>
              <w:t>The option under the first paragraph may not be relied upon in order to impose additional invoicing obligations over and above those laid down in Chapter 3.</w:t>
            </w:r>
          </w:p>
          <w:p w14:paraId="4D5F8454" w14:textId="7DEF9FBD" w:rsidR="003C045B" w:rsidRPr="00AC21F0" w:rsidRDefault="003C045B" w:rsidP="006A0740">
            <w:pPr>
              <w:pStyle w:val="Heading2"/>
              <w:spacing w:line="240" w:lineRule="atLeast"/>
              <w:rPr>
                <w:rFonts w:ascii="Times New Roman" w:eastAsia="Calibri" w:hAnsi="Times New Roman" w:cs="Times New Roman"/>
                <w:iCs/>
                <w:color w:val="auto"/>
                <w:sz w:val="20"/>
                <w:szCs w:val="20"/>
                <w:lang w:val="en-US"/>
              </w:rPr>
            </w:pPr>
          </w:p>
        </w:tc>
        <w:tc>
          <w:tcPr>
            <w:tcW w:w="450" w:type="dxa"/>
          </w:tcPr>
          <w:p w14:paraId="20E57A6E" w14:textId="77777777" w:rsidR="003C045B" w:rsidRPr="00AC21F0" w:rsidRDefault="003C045B" w:rsidP="006A0740">
            <w:pPr>
              <w:spacing w:line="240" w:lineRule="atLeast"/>
              <w:jc w:val="center"/>
              <w:rPr>
                <w:rFonts w:ascii="Times New Roman" w:eastAsia="Calibri" w:hAnsi="Times New Roman" w:cs="Times New Roman"/>
                <w:i/>
                <w:sz w:val="20"/>
                <w:szCs w:val="20"/>
              </w:rPr>
            </w:pPr>
          </w:p>
        </w:tc>
        <w:tc>
          <w:tcPr>
            <w:tcW w:w="644" w:type="dxa"/>
            <w:shd w:val="clear" w:color="auto" w:fill="F2F2F2"/>
          </w:tcPr>
          <w:p w14:paraId="7BD59961" w14:textId="6054664D" w:rsidR="003C045B" w:rsidRPr="00AC21F0" w:rsidRDefault="003C045B" w:rsidP="006A0740">
            <w:pPr>
              <w:spacing w:line="240" w:lineRule="atLeast"/>
              <w:jc w:val="center"/>
              <w:rPr>
                <w:rFonts w:ascii="Times New Roman" w:eastAsia="Calibri" w:hAnsi="Times New Roman" w:cs="Times New Roman"/>
                <w:i/>
                <w:sz w:val="20"/>
                <w:szCs w:val="20"/>
                <w:lang w:val="en-US"/>
              </w:rPr>
            </w:pPr>
          </w:p>
        </w:tc>
        <w:tc>
          <w:tcPr>
            <w:tcW w:w="5040" w:type="dxa"/>
            <w:shd w:val="clear" w:color="auto" w:fill="F2F2F2"/>
          </w:tcPr>
          <w:p w14:paraId="15AEABB8" w14:textId="6CCCE5C2" w:rsidR="00931B73" w:rsidRPr="00AC21F0" w:rsidRDefault="00931B73" w:rsidP="006A0740">
            <w:pPr>
              <w:spacing w:line="240" w:lineRule="atLeast"/>
              <w:jc w:val="both"/>
              <w:rPr>
                <w:rFonts w:ascii="Times New Roman" w:hAnsi="Times New Roman" w:cs="Times New Roman"/>
                <w:sz w:val="20"/>
                <w:szCs w:val="20"/>
              </w:rPr>
            </w:pPr>
            <w:r w:rsidRPr="00AC21F0">
              <w:rPr>
                <w:rFonts w:ascii="Times New Roman" w:hAnsi="Times New Roman" w:cs="Times New Roman"/>
                <w:sz w:val="20"/>
                <w:szCs w:val="20"/>
              </w:rPr>
              <w:t>1.</w:t>
            </w:r>
            <w:r w:rsidRPr="00AC21F0">
              <w:rPr>
                <w:rFonts w:ascii="Times New Roman" w:hAnsi="Times New Roman" w:cs="Times New Roman"/>
                <w:sz w:val="20"/>
                <w:szCs w:val="20"/>
              </w:rPr>
              <w:tab/>
              <w:t>Any acts or omissions of payment service providers, which are contrary to the obligations laid down in this Law and in the by-laws in implementation thereof, shall constitute administrative offences and shall be punishable by administrative fines as follows:</w:t>
            </w:r>
          </w:p>
          <w:p w14:paraId="68FE7487" w14:textId="77777777" w:rsidR="00931B73" w:rsidRPr="00AC21F0" w:rsidRDefault="00931B73" w:rsidP="006A0740">
            <w:pPr>
              <w:spacing w:line="240" w:lineRule="atLeast"/>
              <w:jc w:val="both"/>
              <w:rPr>
                <w:rFonts w:ascii="Times New Roman" w:hAnsi="Times New Roman" w:cs="Times New Roman"/>
                <w:sz w:val="20"/>
                <w:szCs w:val="20"/>
              </w:rPr>
            </w:pPr>
          </w:p>
          <w:p w14:paraId="04C95FDE" w14:textId="77777777" w:rsidR="00931B73" w:rsidRPr="00AC21F0" w:rsidRDefault="00931B73" w:rsidP="006A0740">
            <w:pPr>
              <w:spacing w:line="240" w:lineRule="atLeast"/>
              <w:jc w:val="both"/>
              <w:rPr>
                <w:rFonts w:ascii="Times New Roman" w:hAnsi="Times New Roman" w:cs="Times New Roman"/>
                <w:sz w:val="20"/>
                <w:szCs w:val="20"/>
              </w:rPr>
            </w:pPr>
            <w:r w:rsidRPr="00AC21F0">
              <w:rPr>
                <w:rFonts w:ascii="Times New Roman" w:hAnsi="Times New Roman" w:cs="Times New Roman"/>
                <w:sz w:val="20"/>
                <w:szCs w:val="20"/>
              </w:rPr>
              <w:t xml:space="preserve">a) failure to submit, within the prescribed deadline, the information required to be reported under this Law, shall be punishable by a fine amounting to ______; </w:t>
            </w:r>
          </w:p>
          <w:p w14:paraId="3C6F7C79" w14:textId="77777777" w:rsidR="00931B73" w:rsidRPr="00AC21F0" w:rsidRDefault="00931B73" w:rsidP="006A0740">
            <w:pPr>
              <w:spacing w:line="240" w:lineRule="atLeast"/>
              <w:jc w:val="both"/>
              <w:rPr>
                <w:rFonts w:ascii="Times New Roman" w:hAnsi="Times New Roman" w:cs="Times New Roman"/>
                <w:sz w:val="20"/>
                <w:szCs w:val="20"/>
              </w:rPr>
            </w:pPr>
            <w:r w:rsidRPr="00AC21F0">
              <w:rPr>
                <w:rFonts w:ascii="Times New Roman" w:hAnsi="Times New Roman" w:cs="Times New Roman"/>
                <w:sz w:val="20"/>
                <w:szCs w:val="20"/>
              </w:rPr>
              <w:t>b) submission of inaccurate, incomplete or invalid information required to be reported shall be punishable by a fine amounting to ______;</w:t>
            </w:r>
          </w:p>
          <w:p w14:paraId="1C0709F9" w14:textId="77777777" w:rsidR="00931B73" w:rsidRPr="00AC21F0" w:rsidRDefault="00931B73" w:rsidP="006A0740">
            <w:pPr>
              <w:spacing w:line="240" w:lineRule="atLeast"/>
              <w:jc w:val="both"/>
              <w:rPr>
                <w:rFonts w:ascii="Times New Roman" w:hAnsi="Times New Roman" w:cs="Times New Roman"/>
                <w:sz w:val="20"/>
                <w:szCs w:val="20"/>
              </w:rPr>
            </w:pPr>
            <w:r w:rsidRPr="00AC21F0">
              <w:rPr>
                <w:rFonts w:ascii="Times New Roman" w:hAnsi="Times New Roman" w:cs="Times New Roman"/>
                <w:sz w:val="20"/>
                <w:szCs w:val="20"/>
              </w:rPr>
              <w:t>c) failure to retain CESOP records and documentation for a three-year period following the end of the calendar year of the transaction shall be punishable by a fine amounting to____________. _______________</w:t>
            </w:r>
          </w:p>
          <w:p w14:paraId="55164B08" w14:textId="77777777" w:rsidR="00931B73" w:rsidRPr="00AC21F0" w:rsidRDefault="00931B73" w:rsidP="006A0740">
            <w:pPr>
              <w:spacing w:line="240" w:lineRule="atLeast"/>
              <w:jc w:val="both"/>
              <w:rPr>
                <w:rFonts w:ascii="Times New Roman" w:hAnsi="Times New Roman" w:cs="Times New Roman"/>
                <w:sz w:val="20"/>
                <w:szCs w:val="20"/>
              </w:rPr>
            </w:pPr>
          </w:p>
          <w:p w14:paraId="534946E0" w14:textId="77777777" w:rsidR="00931B73" w:rsidRPr="00AC21F0" w:rsidRDefault="00931B73" w:rsidP="006A0740">
            <w:pPr>
              <w:spacing w:line="240" w:lineRule="atLeast"/>
              <w:jc w:val="both"/>
              <w:rPr>
                <w:rFonts w:ascii="Times New Roman" w:hAnsi="Times New Roman" w:cs="Times New Roman"/>
                <w:sz w:val="20"/>
                <w:szCs w:val="20"/>
              </w:rPr>
            </w:pPr>
            <w:r w:rsidRPr="00AC21F0">
              <w:rPr>
                <w:rFonts w:ascii="Times New Roman" w:hAnsi="Times New Roman" w:cs="Times New Roman"/>
                <w:sz w:val="20"/>
                <w:szCs w:val="20"/>
              </w:rPr>
              <w:t>2.</w:t>
            </w:r>
            <w:r w:rsidRPr="00AC21F0">
              <w:rPr>
                <w:rFonts w:ascii="Times New Roman" w:hAnsi="Times New Roman" w:cs="Times New Roman"/>
                <w:sz w:val="20"/>
                <w:szCs w:val="20"/>
              </w:rPr>
              <w:tab/>
              <w:t>In the case of repeated infringements, the fines provided for in paragraph 1 of this Article shall be doubled.</w:t>
            </w:r>
          </w:p>
          <w:p w14:paraId="3D30D877" w14:textId="77777777" w:rsidR="00931B73" w:rsidRPr="00AC21F0" w:rsidRDefault="00931B73" w:rsidP="006A0740">
            <w:pPr>
              <w:spacing w:line="240" w:lineRule="atLeast"/>
              <w:jc w:val="both"/>
              <w:rPr>
                <w:rFonts w:ascii="Times New Roman" w:hAnsi="Times New Roman" w:cs="Times New Roman"/>
                <w:sz w:val="20"/>
                <w:szCs w:val="20"/>
              </w:rPr>
            </w:pPr>
            <w:r w:rsidRPr="00AC21F0">
              <w:rPr>
                <w:rFonts w:ascii="Times New Roman" w:hAnsi="Times New Roman" w:cs="Times New Roman"/>
                <w:sz w:val="20"/>
                <w:szCs w:val="20"/>
              </w:rPr>
              <w:t>3.</w:t>
            </w:r>
            <w:r w:rsidRPr="00AC21F0">
              <w:rPr>
                <w:rFonts w:ascii="Times New Roman" w:hAnsi="Times New Roman" w:cs="Times New Roman"/>
                <w:sz w:val="20"/>
                <w:szCs w:val="20"/>
              </w:rPr>
              <w:tab/>
              <w:t>In the case of infringements with serious consequences for the accuracy or compliance of the data, the tax administration may propose to the licensing authority the temporary suspension of the licence of the payment service provider, until the legal obligations are fulfilled.</w:t>
            </w:r>
          </w:p>
          <w:p w14:paraId="15ED25F3" w14:textId="6E821AB3" w:rsidR="00931B73" w:rsidRPr="00AC21F0" w:rsidRDefault="00931B73" w:rsidP="006A0740">
            <w:pPr>
              <w:spacing w:line="240" w:lineRule="atLeast"/>
              <w:jc w:val="both"/>
              <w:rPr>
                <w:rFonts w:ascii="Times New Roman" w:hAnsi="Times New Roman" w:cs="Times New Roman"/>
                <w:sz w:val="20"/>
                <w:szCs w:val="20"/>
              </w:rPr>
            </w:pPr>
            <w:r w:rsidRPr="00AC21F0">
              <w:rPr>
                <w:rFonts w:ascii="Times New Roman" w:hAnsi="Times New Roman" w:cs="Times New Roman"/>
                <w:sz w:val="20"/>
                <w:szCs w:val="20"/>
              </w:rPr>
              <w:lastRenderedPageBreak/>
              <w:t>4.</w:t>
            </w:r>
            <w:r w:rsidRPr="00AC21F0">
              <w:rPr>
                <w:rFonts w:ascii="Times New Roman" w:hAnsi="Times New Roman" w:cs="Times New Roman"/>
                <w:sz w:val="20"/>
                <w:szCs w:val="20"/>
              </w:rPr>
              <w:tab/>
              <w:t>The fine shall be imposed by the General Directorof Tax, in accordance with the legislation in force on administrative offences.</w:t>
            </w:r>
          </w:p>
          <w:p w14:paraId="4C6A0FC1" w14:textId="56123561" w:rsidR="003C045B" w:rsidRPr="00AC21F0" w:rsidRDefault="00931B73" w:rsidP="006A0740">
            <w:pPr>
              <w:spacing w:line="240" w:lineRule="atLeast"/>
              <w:jc w:val="both"/>
              <w:rPr>
                <w:rFonts w:ascii="Times New Roman" w:eastAsia="Calibri" w:hAnsi="Times New Roman" w:cs="Times New Roman"/>
                <w:i/>
                <w:sz w:val="20"/>
                <w:szCs w:val="20"/>
              </w:rPr>
            </w:pPr>
            <w:r w:rsidRPr="00AC21F0">
              <w:rPr>
                <w:rFonts w:ascii="Times New Roman" w:hAnsi="Times New Roman" w:cs="Times New Roman"/>
                <w:sz w:val="20"/>
                <w:szCs w:val="20"/>
              </w:rPr>
              <w:t>5.</w:t>
            </w:r>
            <w:r w:rsidRPr="00AC21F0">
              <w:rPr>
                <w:rFonts w:ascii="Times New Roman" w:hAnsi="Times New Roman" w:cs="Times New Roman"/>
                <w:sz w:val="20"/>
                <w:szCs w:val="20"/>
              </w:rPr>
              <w:tab/>
              <w:t>An appeal against the decision imposing the fine may be lodged with the competent administrative court, in accordance with the legislation in force on administrative courts and the adjudication of administrative disputes.</w:t>
            </w:r>
          </w:p>
        </w:tc>
        <w:tc>
          <w:tcPr>
            <w:tcW w:w="720" w:type="dxa"/>
            <w:shd w:val="clear" w:color="auto" w:fill="F2F2F2"/>
          </w:tcPr>
          <w:p w14:paraId="1BEB4026" w14:textId="63DAE492" w:rsidR="003C045B" w:rsidRPr="00AC21F0" w:rsidRDefault="003C045B" w:rsidP="006A0740">
            <w:pPr>
              <w:spacing w:line="240" w:lineRule="atLeast"/>
              <w:jc w:val="center"/>
              <w:rPr>
                <w:rFonts w:ascii="Times New Roman" w:eastAsia="Calibri" w:hAnsi="Times New Roman" w:cs="Times New Roman"/>
                <w:i/>
                <w:sz w:val="20"/>
                <w:szCs w:val="20"/>
                <w:lang w:val="en-US"/>
              </w:rPr>
            </w:pPr>
            <w:r w:rsidRPr="00AC21F0">
              <w:rPr>
                <w:rFonts w:ascii="Times New Roman" w:eastAsia="Calibri" w:hAnsi="Times New Roman" w:cs="Times New Roman"/>
                <w:i/>
                <w:sz w:val="20"/>
                <w:szCs w:val="20"/>
                <w:lang w:val="en-US"/>
              </w:rPr>
              <w:lastRenderedPageBreak/>
              <w:t>F</w:t>
            </w:r>
          </w:p>
        </w:tc>
        <w:tc>
          <w:tcPr>
            <w:tcW w:w="3510" w:type="dxa"/>
            <w:shd w:val="clear" w:color="auto" w:fill="F2F2F2"/>
          </w:tcPr>
          <w:p w14:paraId="54ED8158" w14:textId="77777777" w:rsidR="003C045B" w:rsidRPr="00AC21F0" w:rsidRDefault="003C045B" w:rsidP="006A0740">
            <w:pPr>
              <w:pStyle w:val="NormalWeb"/>
              <w:spacing w:line="240" w:lineRule="atLeast"/>
              <w:jc w:val="both"/>
              <w:rPr>
                <w:sz w:val="20"/>
                <w:szCs w:val="20"/>
                <w:lang w:val="en-US"/>
              </w:rPr>
            </w:pPr>
            <w:r w:rsidRPr="00AC21F0">
              <w:rPr>
                <w:sz w:val="20"/>
                <w:szCs w:val="20"/>
              </w:rPr>
              <w:t xml:space="preserve">Article 15 is </w:t>
            </w:r>
            <w:r w:rsidRPr="00AC21F0">
              <w:rPr>
                <w:rStyle w:val="Strong"/>
                <w:rFonts w:eastAsia="Calibri"/>
                <w:b w:val="0"/>
                <w:bCs w:val="0"/>
                <w:sz w:val="20"/>
                <w:szCs w:val="20"/>
              </w:rPr>
              <w:t>compliant with Art. 273 of Directive 2006/112/EC</w:t>
            </w:r>
            <w:r w:rsidRPr="00AC21F0">
              <w:rPr>
                <w:sz w:val="20"/>
                <w:szCs w:val="20"/>
              </w:rPr>
              <w:t>.</w:t>
            </w:r>
          </w:p>
          <w:p w14:paraId="3687FA24" w14:textId="77777777" w:rsidR="003C045B" w:rsidRPr="00AC21F0" w:rsidRDefault="003C045B" w:rsidP="006A0740">
            <w:pPr>
              <w:pStyle w:val="NormalWeb"/>
              <w:spacing w:line="240" w:lineRule="atLeast"/>
              <w:jc w:val="both"/>
              <w:rPr>
                <w:sz w:val="20"/>
                <w:szCs w:val="20"/>
              </w:rPr>
            </w:pPr>
            <w:r w:rsidRPr="00AC21F0">
              <w:rPr>
                <w:sz w:val="20"/>
                <w:szCs w:val="20"/>
              </w:rPr>
              <w:t>It allows for the imposition of additional administrative obligations, establishes graduated sanctions, and preserves the possibility of appeal, without creating obstacles for cross-border transactions.</w:t>
            </w:r>
          </w:p>
          <w:p w14:paraId="2B08ADE6" w14:textId="77777777" w:rsidR="003C045B" w:rsidRPr="00AC21F0" w:rsidRDefault="003C045B" w:rsidP="006A0740">
            <w:pPr>
              <w:spacing w:line="240" w:lineRule="atLeast"/>
              <w:rPr>
                <w:rFonts w:ascii="Times New Roman" w:eastAsia="Calibri" w:hAnsi="Times New Roman" w:cs="Times New Roman"/>
                <w:i/>
                <w:sz w:val="20"/>
                <w:szCs w:val="20"/>
              </w:rPr>
            </w:pPr>
          </w:p>
        </w:tc>
      </w:tr>
      <w:tr w:rsidR="003C045B" w:rsidRPr="00AC21F0" w14:paraId="01DB1503" w14:textId="77777777" w:rsidTr="00990A3C">
        <w:tc>
          <w:tcPr>
            <w:tcW w:w="540" w:type="dxa"/>
          </w:tcPr>
          <w:p w14:paraId="43FE0BD5" w14:textId="1FA8AC90"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shd w:val="clear" w:color="auto" w:fill="D0CECE" w:themeFill="background2" w:themeFillShade="E6"/>
          </w:tcPr>
          <w:p w14:paraId="0418BD54" w14:textId="3482F974" w:rsidR="003C045B" w:rsidRPr="00AC21F0" w:rsidRDefault="003C045B" w:rsidP="006A0740">
            <w:pPr>
              <w:spacing w:line="240" w:lineRule="atLeast"/>
              <w:jc w:val="both"/>
              <w:rPr>
                <w:rFonts w:ascii="Times New Roman" w:eastAsia="Calibri" w:hAnsi="Times New Roman" w:cs="Times New Roman"/>
                <w:iCs/>
                <w:sz w:val="20"/>
                <w:szCs w:val="20"/>
                <w:lang w:val="en-US"/>
              </w:rPr>
            </w:pPr>
          </w:p>
        </w:tc>
        <w:tc>
          <w:tcPr>
            <w:tcW w:w="450" w:type="dxa"/>
            <w:shd w:val="clear" w:color="auto" w:fill="D0CECE" w:themeFill="background2" w:themeFillShade="E6"/>
          </w:tcPr>
          <w:p w14:paraId="12D30A9E" w14:textId="6584D8ED" w:rsidR="003C045B" w:rsidRPr="00AC21F0" w:rsidRDefault="003C045B" w:rsidP="006A0740">
            <w:pPr>
              <w:spacing w:line="240" w:lineRule="atLeast"/>
              <w:jc w:val="center"/>
              <w:rPr>
                <w:rFonts w:ascii="Times New Roman" w:eastAsia="Calibri" w:hAnsi="Times New Roman" w:cs="Times New Roman"/>
                <w:sz w:val="20"/>
                <w:szCs w:val="20"/>
              </w:rPr>
            </w:pPr>
          </w:p>
        </w:tc>
        <w:tc>
          <w:tcPr>
            <w:tcW w:w="644" w:type="dxa"/>
            <w:shd w:val="clear" w:color="auto" w:fill="D0CECE" w:themeFill="background2" w:themeFillShade="E6"/>
          </w:tcPr>
          <w:p w14:paraId="589A5FA3" w14:textId="77777777"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5040" w:type="dxa"/>
            <w:shd w:val="clear" w:color="auto" w:fill="D0CECE" w:themeFill="background2" w:themeFillShade="E6"/>
          </w:tcPr>
          <w:p w14:paraId="049B5BC9" w14:textId="77777777" w:rsidR="00931B73" w:rsidRPr="00AC21F0" w:rsidRDefault="00931B73" w:rsidP="006A0740">
            <w:pPr>
              <w:spacing w:line="240" w:lineRule="atLeast"/>
              <w:jc w:val="center"/>
              <w:rPr>
                <w:rFonts w:ascii="Times New Roman" w:hAnsi="Times New Roman" w:cs="Times New Roman"/>
                <w:sz w:val="20"/>
                <w:szCs w:val="20"/>
              </w:rPr>
            </w:pPr>
            <w:r w:rsidRPr="00AC21F0">
              <w:rPr>
                <w:rFonts w:ascii="Times New Roman" w:hAnsi="Times New Roman" w:cs="Times New Roman"/>
                <w:sz w:val="20"/>
                <w:szCs w:val="20"/>
              </w:rPr>
              <w:t>Article 15</w:t>
            </w:r>
          </w:p>
          <w:p w14:paraId="571CE8D6" w14:textId="77777777" w:rsidR="00931B73" w:rsidRPr="00AC21F0" w:rsidRDefault="00931B73" w:rsidP="006A0740">
            <w:pPr>
              <w:spacing w:line="240" w:lineRule="atLeast"/>
              <w:jc w:val="center"/>
              <w:rPr>
                <w:rFonts w:ascii="Times New Roman" w:hAnsi="Times New Roman" w:cs="Times New Roman"/>
                <w:sz w:val="20"/>
                <w:szCs w:val="20"/>
              </w:rPr>
            </w:pPr>
          </w:p>
          <w:p w14:paraId="5759BAC5" w14:textId="7A3C55B4" w:rsidR="003C045B" w:rsidRPr="00AC21F0" w:rsidRDefault="00931B73" w:rsidP="006A0740">
            <w:pPr>
              <w:spacing w:line="240" w:lineRule="atLeast"/>
              <w:jc w:val="center"/>
              <w:rPr>
                <w:rFonts w:ascii="Times New Roman" w:eastAsia="Calibri" w:hAnsi="Times New Roman" w:cs="Times New Roman"/>
                <w:sz w:val="20"/>
                <w:szCs w:val="20"/>
                <w:lang w:val="en-US"/>
              </w:rPr>
            </w:pPr>
            <w:r w:rsidRPr="00AC21F0">
              <w:rPr>
                <w:rFonts w:ascii="Times New Roman" w:hAnsi="Times New Roman" w:cs="Times New Roman"/>
                <w:sz w:val="20"/>
                <w:szCs w:val="20"/>
              </w:rPr>
              <w:t>Liability in case of a force majeure event</w:t>
            </w:r>
          </w:p>
        </w:tc>
        <w:tc>
          <w:tcPr>
            <w:tcW w:w="720" w:type="dxa"/>
            <w:shd w:val="clear" w:color="auto" w:fill="D0CECE" w:themeFill="background2" w:themeFillShade="E6"/>
          </w:tcPr>
          <w:p w14:paraId="285F00D8" w14:textId="315C81A8"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3510" w:type="dxa"/>
            <w:shd w:val="clear" w:color="auto" w:fill="D0CECE" w:themeFill="background2" w:themeFillShade="E6"/>
          </w:tcPr>
          <w:p w14:paraId="5FB019CF" w14:textId="77777777" w:rsidR="003C045B" w:rsidRPr="00AC21F0" w:rsidRDefault="003C045B" w:rsidP="006A0740">
            <w:pPr>
              <w:spacing w:line="240" w:lineRule="atLeast"/>
              <w:rPr>
                <w:rFonts w:ascii="Times New Roman" w:eastAsia="Calibri" w:hAnsi="Times New Roman" w:cs="Times New Roman"/>
                <w:sz w:val="20"/>
                <w:szCs w:val="20"/>
                <w:lang w:val="en-US"/>
              </w:rPr>
            </w:pPr>
          </w:p>
        </w:tc>
      </w:tr>
      <w:tr w:rsidR="003C045B" w:rsidRPr="00AC21F0" w14:paraId="0A280824" w14:textId="77777777" w:rsidTr="004738EE">
        <w:tc>
          <w:tcPr>
            <w:tcW w:w="540" w:type="dxa"/>
          </w:tcPr>
          <w:p w14:paraId="4CC1BC67" w14:textId="654A2C67"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tcPr>
          <w:p w14:paraId="3F658A9F" w14:textId="6BB6F7B8" w:rsidR="003C045B" w:rsidRPr="00AC21F0" w:rsidRDefault="003C045B" w:rsidP="006A0740">
            <w:pPr>
              <w:spacing w:line="240" w:lineRule="atLeast"/>
              <w:jc w:val="both"/>
              <w:rPr>
                <w:rFonts w:ascii="Times New Roman" w:eastAsia="Calibri" w:hAnsi="Times New Roman" w:cs="Times New Roman"/>
                <w:iCs/>
                <w:sz w:val="20"/>
                <w:szCs w:val="20"/>
                <w:lang w:val="en-US"/>
              </w:rPr>
            </w:pPr>
          </w:p>
        </w:tc>
        <w:tc>
          <w:tcPr>
            <w:tcW w:w="450" w:type="dxa"/>
          </w:tcPr>
          <w:p w14:paraId="68B1A8F1" w14:textId="6488B5E5" w:rsidR="003C045B" w:rsidRPr="00AC21F0" w:rsidRDefault="003C045B" w:rsidP="006A0740">
            <w:pPr>
              <w:spacing w:line="240" w:lineRule="atLeast"/>
              <w:jc w:val="center"/>
              <w:rPr>
                <w:rFonts w:ascii="Times New Roman" w:eastAsia="Calibri" w:hAnsi="Times New Roman" w:cs="Times New Roman"/>
                <w:sz w:val="20"/>
                <w:szCs w:val="20"/>
              </w:rPr>
            </w:pPr>
          </w:p>
        </w:tc>
        <w:tc>
          <w:tcPr>
            <w:tcW w:w="644" w:type="dxa"/>
          </w:tcPr>
          <w:p w14:paraId="129A8AC4" w14:textId="761025D8"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5040" w:type="dxa"/>
          </w:tcPr>
          <w:p w14:paraId="457ED932" w14:textId="6561589B" w:rsidR="00DA1204" w:rsidRPr="00AC21F0" w:rsidRDefault="00DA1204" w:rsidP="006A0740">
            <w:pPr>
              <w:spacing w:line="240" w:lineRule="atLeast"/>
              <w:jc w:val="both"/>
              <w:rPr>
                <w:rFonts w:ascii="Times New Roman" w:eastAsia="Times New Roman" w:hAnsi="Times New Roman" w:cs="Times New Roman"/>
                <w:sz w:val="20"/>
                <w:szCs w:val="20"/>
              </w:rPr>
            </w:pPr>
          </w:p>
          <w:p w14:paraId="71EA3AAB" w14:textId="10472B9B" w:rsidR="00931B73" w:rsidRPr="00AC21F0" w:rsidRDefault="00931B73" w:rsidP="006A0740">
            <w:pPr>
              <w:spacing w:line="240" w:lineRule="atLeast"/>
              <w:jc w:val="both"/>
              <w:rPr>
                <w:rFonts w:ascii="Times New Roman" w:eastAsia="Times New Roman" w:hAnsi="Times New Roman" w:cs="Times New Roman"/>
                <w:sz w:val="20"/>
                <w:szCs w:val="20"/>
                <w:lang w:val="sq-AL"/>
              </w:rPr>
            </w:pPr>
            <w:r w:rsidRPr="00AC21F0">
              <w:rPr>
                <w:rFonts w:ascii="Times New Roman" w:eastAsia="Times New Roman" w:hAnsi="Times New Roman" w:cs="Times New Roman"/>
                <w:sz w:val="20"/>
                <w:szCs w:val="20"/>
                <w:lang w:val="sq-AL"/>
              </w:rPr>
              <w:t>1.</w:t>
            </w:r>
            <w:r w:rsidRPr="00AC21F0">
              <w:rPr>
                <w:rFonts w:ascii="Times New Roman" w:eastAsia="Times New Roman" w:hAnsi="Times New Roman" w:cs="Times New Roman"/>
                <w:sz w:val="20"/>
                <w:szCs w:val="20"/>
                <w:lang w:val="sq-AL"/>
              </w:rPr>
              <w:tab/>
              <w:t xml:space="preserve">Payment service providers shall not be held liable for failure to fulfil the obligation under Article 9, in case of a state of emergency, war, </w:t>
            </w:r>
            <w:r w:rsidR="00B63E5A" w:rsidRPr="00AC21F0">
              <w:rPr>
                <w:rFonts w:ascii="Times New Roman" w:eastAsia="Times New Roman" w:hAnsi="Times New Roman" w:cs="Times New Roman"/>
                <w:sz w:val="20"/>
                <w:szCs w:val="20"/>
                <w:lang w:val="sq-AL"/>
              </w:rPr>
              <w:t>cases of force majeure</w:t>
            </w:r>
            <w:r w:rsidRPr="00AC21F0">
              <w:rPr>
                <w:rFonts w:ascii="Times New Roman" w:eastAsia="Times New Roman" w:hAnsi="Times New Roman" w:cs="Times New Roman"/>
                <w:sz w:val="20"/>
                <w:szCs w:val="20"/>
                <w:lang w:val="sq-AL"/>
              </w:rPr>
              <w:t xml:space="preserve"> and natural disasters.</w:t>
            </w:r>
          </w:p>
          <w:p w14:paraId="41D99B9F" w14:textId="77777777" w:rsidR="00931B73" w:rsidRPr="00AC21F0" w:rsidRDefault="00931B73" w:rsidP="006A0740">
            <w:pPr>
              <w:spacing w:line="240" w:lineRule="atLeast"/>
              <w:jc w:val="both"/>
              <w:rPr>
                <w:rFonts w:ascii="Times New Roman" w:eastAsia="Times New Roman" w:hAnsi="Times New Roman" w:cs="Times New Roman"/>
                <w:sz w:val="20"/>
                <w:szCs w:val="20"/>
                <w:lang w:val="sq-AL"/>
              </w:rPr>
            </w:pPr>
          </w:p>
          <w:p w14:paraId="449A08B2" w14:textId="37DCE076" w:rsidR="003C045B" w:rsidRPr="00AC21F0" w:rsidRDefault="00931B73" w:rsidP="006A0740">
            <w:pPr>
              <w:spacing w:line="240" w:lineRule="atLeast"/>
              <w:jc w:val="both"/>
              <w:rPr>
                <w:rFonts w:ascii="Times New Roman" w:hAnsi="Times New Roman" w:cs="Times New Roman"/>
                <w:sz w:val="20"/>
                <w:szCs w:val="20"/>
                <w:lang w:val="sq-AL"/>
              </w:rPr>
            </w:pPr>
            <w:r w:rsidRPr="00AC21F0">
              <w:rPr>
                <w:rFonts w:ascii="Times New Roman" w:eastAsia="Times New Roman" w:hAnsi="Times New Roman" w:cs="Times New Roman"/>
                <w:sz w:val="20"/>
                <w:szCs w:val="20"/>
                <w:lang w:val="sq-AL"/>
              </w:rPr>
              <w:t>2.</w:t>
            </w:r>
            <w:r w:rsidRPr="00AC21F0">
              <w:rPr>
                <w:rFonts w:ascii="Times New Roman" w:eastAsia="Times New Roman" w:hAnsi="Times New Roman" w:cs="Times New Roman"/>
                <w:sz w:val="20"/>
                <w:szCs w:val="20"/>
                <w:lang w:val="sq-AL"/>
              </w:rPr>
              <w:tab/>
              <w:t xml:space="preserve">Payment service providers that are unable to fulfil their obligations in accordance with Article 9, </w:t>
            </w:r>
            <w:r w:rsidR="00517905" w:rsidRPr="00AC21F0">
              <w:rPr>
                <w:rFonts w:ascii="Times New Roman" w:eastAsia="Times New Roman" w:hAnsi="Times New Roman" w:cs="Times New Roman"/>
                <w:sz w:val="20"/>
                <w:szCs w:val="20"/>
                <w:lang w:val="sq-AL"/>
              </w:rPr>
              <w:t xml:space="preserve">point </w:t>
            </w:r>
            <w:r w:rsidRPr="00AC21F0">
              <w:rPr>
                <w:rFonts w:ascii="Times New Roman" w:eastAsia="Times New Roman" w:hAnsi="Times New Roman" w:cs="Times New Roman"/>
                <w:sz w:val="20"/>
                <w:szCs w:val="20"/>
                <w:lang w:val="sq-AL"/>
              </w:rPr>
              <w:t>1</w:t>
            </w:r>
            <w:r w:rsidR="00517905" w:rsidRPr="00AC21F0">
              <w:rPr>
                <w:rFonts w:ascii="Times New Roman" w:eastAsia="Times New Roman" w:hAnsi="Times New Roman" w:cs="Times New Roman"/>
                <w:sz w:val="20"/>
                <w:szCs w:val="20"/>
                <w:lang w:val="sq-AL"/>
              </w:rPr>
              <w:t xml:space="preserve">, letter </w:t>
            </w:r>
            <w:r w:rsidRPr="00AC21F0">
              <w:rPr>
                <w:rFonts w:ascii="Times New Roman" w:eastAsia="Times New Roman" w:hAnsi="Times New Roman" w:cs="Times New Roman"/>
                <w:sz w:val="20"/>
                <w:szCs w:val="20"/>
                <w:lang w:val="sq-AL"/>
              </w:rPr>
              <w:t>(c) shall notify in writing the General Directorate of Taxation of the cause and extent of the issue preventing them from fulfilling their obligations, and shall make all reasonable efforts to resume compliance with those obligations as soon as possible.</w:t>
            </w:r>
          </w:p>
          <w:p w14:paraId="5AA6CCE5" w14:textId="1F074C8B" w:rsidR="003C045B" w:rsidRPr="00AC21F0" w:rsidRDefault="003C045B" w:rsidP="006A0740">
            <w:pPr>
              <w:spacing w:line="240" w:lineRule="atLeast"/>
              <w:jc w:val="both"/>
              <w:rPr>
                <w:rFonts w:ascii="Times New Roman" w:eastAsia="Calibri" w:hAnsi="Times New Roman" w:cs="Times New Roman"/>
                <w:sz w:val="20"/>
                <w:szCs w:val="20"/>
                <w:lang w:val="sq-AL"/>
              </w:rPr>
            </w:pPr>
          </w:p>
        </w:tc>
        <w:tc>
          <w:tcPr>
            <w:tcW w:w="720" w:type="dxa"/>
          </w:tcPr>
          <w:p w14:paraId="4C0F418F" w14:textId="43FB6966" w:rsidR="003C045B" w:rsidRPr="00AC21F0" w:rsidRDefault="003C045B" w:rsidP="006A0740">
            <w:pPr>
              <w:spacing w:line="240" w:lineRule="atLeast"/>
              <w:jc w:val="center"/>
              <w:rPr>
                <w:rFonts w:ascii="Times New Roman" w:eastAsia="Calibri" w:hAnsi="Times New Roman" w:cs="Times New Roman"/>
                <w:sz w:val="20"/>
                <w:szCs w:val="20"/>
                <w:lang w:val="sq-AL"/>
              </w:rPr>
            </w:pPr>
          </w:p>
        </w:tc>
        <w:tc>
          <w:tcPr>
            <w:tcW w:w="3510" w:type="dxa"/>
          </w:tcPr>
          <w:p w14:paraId="031E509B" w14:textId="77777777" w:rsidR="00147181" w:rsidRPr="00AC21F0" w:rsidRDefault="00147181" w:rsidP="006A0740">
            <w:pPr>
              <w:spacing w:line="240" w:lineRule="atLeast"/>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National provision.</w:t>
            </w:r>
          </w:p>
          <w:p w14:paraId="155ADC57" w14:textId="77777777" w:rsidR="003C045B" w:rsidRPr="00AC21F0" w:rsidRDefault="003C045B" w:rsidP="006A0740">
            <w:pPr>
              <w:spacing w:line="240" w:lineRule="atLeast"/>
              <w:rPr>
                <w:rFonts w:ascii="Times New Roman" w:eastAsia="Times New Roman" w:hAnsi="Times New Roman" w:cs="Times New Roman"/>
                <w:i/>
                <w:sz w:val="20"/>
                <w:szCs w:val="20"/>
              </w:rPr>
            </w:pPr>
            <w:r w:rsidRPr="00AC21F0">
              <w:rPr>
                <w:rFonts w:ascii="Times New Roman" w:eastAsia="Times New Roman" w:hAnsi="Times New Roman" w:cs="Times New Roman"/>
                <w:i/>
                <w:sz w:val="20"/>
                <w:szCs w:val="20"/>
              </w:rPr>
              <w:t>There is no specific provision in Dir. 2020/284; additional national provision.</w:t>
            </w:r>
          </w:p>
          <w:p w14:paraId="0052F906" w14:textId="59C3B55E" w:rsidR="003C045B" w:rsidRPr="00AC21F0" w:rsidRDefault="003C045B" w:rsidP="006A0740">
            <w:pPr>
              <w:spacing w:line="240" w:lineRule="atLeast"/>
              <w:rPr>
                <w:rFonts w:ascii="Times New Roman" w:eastAsia="Calibri" w:hAnsi="Times New Roman" w:cs="Times New Roman"/>
                <w:sz w:val="20"/>
                <w:szCs w:val="20"/>
                <w:lang w:val="en-US"/>
              </w:rPr>
            </w:pPr>
            <w:r w:rsidRPr="00AC21F0">
              <w:rPr>
                <w:rFonts w:ascii="Times New Roman" w:eastAsia="Times New Roman" w:hAnsi="Times New Roman" w:cs="Times New Roman"/>
                <w:sz w:val="20"/>
                <w:szCs w:val="20"/>
              </w:rPr>
              <w:t>Permitted as a national rule</w:t>
            </w:r>
          </w:p>
        </w:tc>
      </w:tr>
      <w:tr w:rsidR="003C045B" w:rsidRPr="00AC21F0" w14:paraId="42D63892" w14:textId="77777777" w:rsidTr="00990A3C">
        <w:trPr>
          <w:trHeight w:val="1008"/>
        </w:trPr>
        <w:tc>
          <w:tcPr>
            <w:tcW w:w="540" w:type="dxa"/>
          </w:tcPr>
          <w:p w14:paraId="3CCCFFF5" w14:textId="3D21E7E1"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shd w:val="clear" w:color="auto" w:fill="D0CECE" w:themeFill="background2" w:themeFillShade="E6"/>
          </w:tcPr>
          <w:p w14:paraId="1F8428AC" w14:textId="5E855BDC" w:rsidR="003C045B" w:rsidRPr="00AC21F0" w:rsidRDefault="003C045B" w:rsidP="006A0740">
            <w:pPr>
              <w:spacing w:line="240" w:lineRule="atLeast"/>
              <w:jc w:val="both"/>
              <w:rPr>
                <w:rFonts w:ascii="Times New Roman" w:eastAsia="Calibri" w:hAnsi="Times New Roman" w:cs="Times New Roman"/>
                <w:iCs/>
                <w:sz w:val="20"/>
                <w:szCs w:val="20"/>
                <w:lang w:val="en-US"/>
              </w:rPr>
            </w:pPr>
          </w:p>
        </w:tc>
        <w:tc>
          <w:tcPr>
            <w:tcW w:w="450" w:type="dxa"/>
            <w:shd w:val="clear" w:color="auto" w:fill="D0CECE" w:themeFill="background2" w:themeFillShade="E6"/>
          </w:tcPr>
          <w:p w14:paraId="7A167751" w14:textId="4D6AA9CF" w:rsidR="003C045B" w:rsidRPr="00AC21F0" w:rsidRDefault="003C045B" w:rsidP="006A0740">
            <w:pPr>
              <w:spacing w:line="240" w:lineRule="atLeast"/>
              <w:rPr>
                <w:rFonts w:ascii="Times New Roman" w:eastAsia="Calibri" w:hAnsi="Times New Roman" w:cs="Times New Roman"/>
                <w:sz w:val="20"/>
                <w:szCs w:val="20"/>
              </w:rPr>
            </w:pPr>
          </w:p>
        </w:tc>
        <w:tc>
          <w:tcPr>
            <w:tcW w:w="644" w:type="dxa"/>
            <w:shd w:val="clear" w:color="auto" w:fill="D0CECE" w:themeFill="background2" w:themeFillShade="E6"/>
          </w:tcPr>
          <w:p w14:paraId="584A3692" w14:textId="0563BE3A" w:rsidR="003C045B" w:rsidRPr="00AC21F0" w:rsidRDefault="003C045B" w:rsidP="006A0740">
            <w:pPr>
              <w:spacing w:line="240" w:lineRule="atLeast"/>
              <w:rPr>
                <w:rFonts w:ascii="Times New Roman" w:eastAsia="Calibri" w:hAnsi="Times New Roman" w:cs="Times New Roman"/>
                <w:sz w:val="20"/>
                <w:szCs w:val="20"/>
                <w:lang w:val="en-US"/>
              </w:rPr>
            </w:pPr>
          </w:p>
        </w:tc>
        <w:tc>
          <w:tcPr>
            <w:tcW w:w="5040" w:type="dxa"/>
            <w:shd w:val="clear" w:color="auto" w:fill="D0CECE" w:themeFill="background2" w:themeFillShade="E6"/>
          </w:tcPr>
          <w:p w14:paraId="0C080300" w14:textId="77777777" w:rsidR="00816168" w:rsidRPr="00AC21F0" w:rsidRDefault="00816168" w:rsidP="006A0740">
            <w:pPr>
              <w:spacing w:line="240" w:lineRule="atLeast"/>
              <w:rPr>
                <w:rFonts w:ascii="Times New Roman" w:hAnsi="Times New Roman" w:cs="Times New Roman"/>
                <w:sz w:val="20"/>
                <w:szCs w:val="20"/>
              </w:rPr>
            </w:pPr>
          </w:p>
          <w:p w14:paraId="77F71154" w14:textId="77777777" w:rsidR="00931B73" w:rsidRPr="00AC21F0" w:rsidRDefault="00931B73" w:rsidP="006A0740">
            <w:pPr>
              <w:spacing w:line="240" w:lineRule="atLeast"/>
              <w:jc w:val="center"/>
              <w:rPr>
                <w:rFonts w:ascii="Times New Roman" w:hAnsi="Times New Roman" w:cs="Times New Roman"/>
                <w:sz w:val="20"/>
                <w:szCs w:val="20"/>
              </w:rPr>
            </w:pPr>
            <w:r w:rsidRPr="00AC21F0">
              <w:rPr>
                <w:rFonts w:ascii="Times New Roman" w:hAnsi="Times New Roman" w:cs="Times New Roman"/>
                <w:sz w:val="20"/>
                <w:szCs w:val="20"/>
              </w:rPr>
              <w:t>Article 16</w:t>
            </w:r>
          </w:p>
          <w:p w14:paraId="5C60CB5C" w14:textId="77777777" w:rsidR="00931B73" w:rsidRPr="00AC21F0" w:rsidRDefault="00931B73" w:rsidP="006A0740">
            <w:pPr>
              <w:spacing w:line="240" w:lineRule="atLeast"/>
              <w:jc w:val="center"/>
              <w:rPr>
                <w:rFonts w:ascii="Times New Roman" w:hAnsi="Times New Roman" w:cs="Times New Roman"/>
                <w:sz w:val="20"/>
                <w:szCs w:val="20"/>
              </w:rPr>
            </w:pPr>
          </w:p>
          <w:p w14:paraId="08666E67" w14:textId="5CA6210F" w:rsidR="00931B73" w:rsidRPr="00AC21F0" w:rsidRDefault="00931B73" w:rsidP="006A0740">
            <w:pPr>
              <w:spacing w:line="240" w:lineRule="atLeast"/>
              <w:jc w:val="center"/>
              <w:rPr>
                <w:rFonts w:ascii="Times New Roman" w:hAnsi="Times New Roman" w:cs="Times New Roman"/>
                <w:sz w:val="20"/>
                <w:szCs w:val="20"/>
              </w:rPr>
            </w:pPr>
            <w:r w:rsidRPr="00AC21F0">
              <w:rPr>
                <w:rFonts w:ascii="Times New Roman" w:hAnsi="Times New Roman" w:cs="Times New Roman"/>
                <w:sz w:val="20"/>
                <w:szCs w:val="20"/>
              </w:rPr>
              <w:t>Implementing Institutions</w:t>
            </w:r>
          </w:p>
          <w:p w14:paraId="321C5EE0" w14:textId="55324A93"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720" w:type="dxa"/>
            <w:shd w:val="clear" w:color="auto" w:fill="D0CECE" w:themeFill="background2" w:themeFillShade="E6"/>
          </w:tcPr>
          <w:p w14:paraId="05707711" w14:textId="4644B721" w:rsidR="003C045B" w:rsidRPr="00AC21F0" w:rsidRDefault="003C045B" w:rsidP="006A0740">
            <w:pPr>
              <w:spacing w:line="240" w:lineRule="atLeast"/>
              <w:jc w:val="center"/>
              <w:rPr>
                <w:rFonts w:ascii="Times New Roman" w:eastAsia="Calibri" w:hAnsi="Times New Roman" w:cs="Times New Roman"/>
                <w:sz w:val="20"/>
                <w:szCs w:val="20"/>
                <w:lang w:val="en-US"/>
              </w:rPr>
            </w:pPr>
          </w:p>
        </w:tc>
        <w:tc>
          <w:tcPr>
            <w:tcW w:w="3510" w:type="dxa"/>
            <w:shd w:val="clear" w:color="auto" w:fill="D0CECE" w:themeFill="background2" w:themeFillShade="E6"/>
          </w:tcPr>
          <w:p w14:paraId="1F1D51C2" w14:textId="572A6EB9" w:rsidR="003C045B" w:rsidRPr="00AC21F0" w:rsidRDefault="003C045B" w:rsidP="006A0740">
            <w:pPr>
              <w:spacing w:line="240" w:lineRule="atLeast"/>
              <w:rPr>
                <w:rFonts w:ascii="Times New Roman" w:eastAsia="Calibri" w:hAnsi="Times New Roman" w:cs="Times New Roman"/>
                <w:sz w:val="20"/>
                <w:szCs w:val="20"/>
                <w:lang w:val="en-US"/>
              </w:rPr>
            </w:pPr>
          </w:p>
        </w:tc>
      </w:tr>
      <w:tr w:rsidR="003C045B" w:rsidRPr="00AC21F0" w14:paraId="1E7B05E8" w14:textId="77777777" w:rsidTr="004738EE">
        <w:tc>
          <w:tcPr>
            <w:tcW w:w="540" w:type="dxa"/>
          </w:tcPr>
          <w:p w14:paraId="2F45229D" w14:textId="00C2B9F7"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tcPr>
          <w:p w14:paraId="35674A15" w14:textId="77777777" w:rsidR="003C045B" w:rsidRPr="00AC21F0" w:rsidRDefault="003C045B" w:rsidP="006A0740">
            <w:pPr>
              <w:spacing w:line="240" w:lineRule="atLeast"/>
              <w:jc w:val="both"/>
              <w:rPr>
                <w:rFonts w:ascii="Times New Roman" w:eastAsia="Calibri" w:hAnsi="Times New Roman" w:cs="Times New Roman"/>
                <w:iCs/>
                <w:sz w:val="20"/>
                <w:szCs w:val="20"/>
                <w:lang w:val="en-US"/>
              </w:rPr>
            </w:pPr>
          </w:p>
          <w:p w14:paraId="62A25992" w14:textId="17551084" w:rsidR="003C045B" w:rsidRPr="00AC21F0" w:rsidRDefault="003C045B" w:rsidP="006A0740">
            <w:pPr>
              <w:spacing w:line="240" w:lineRule="atLeast"/>
              <w:rPr>
                <w:rFonts w:ascii="Times New Roman" w:eastAsia="Calibri" w:hAnsi="Times New Roman" w:cs="Times New Roman"/>
                <w:iCs/>
                <w:sz w:val="20"/>
                <w:szCs w:val="20"/>
                <w:lang w:val="en-US"/>
              </w:rPr>
            </w:pPr>
          </w:p>
        </w:tc>
        <w:tc>
          <w:tcPr>
            <w:tcW w:w="450" w:type="dxa"/>
          </w:tcPr>
          <w:p w14:paraId="696A29FD" w14:textId="61FB2EF3" w:rsidR="003C045B" w:rsidRPr="00AC21F0" w:rsidRDefault="003C045B" w:rsidP="006A0740">
            <w:pPr>
              <w:spacing w:line="240" w:lineRule="atLeast"/>
              <w:jc w:val="center"/>
              <w:rPr>
                <w:rFonts w:ascii="Times New Roman" w:eastAsia="Calibri" w:hAnsi="Times New Roman" w:cs="Times New Roman"/>
                <w:sz w:val="20"/>
                <w:szCs w:val="20"/>
              </w:rPr>
            </w:pPr>
          </w:p>
        </w:tc>
        <w:tc>
          <w:tcPr>
            <w:tcW w:w="644" w:type="dxa"/>
          </w:tcPr>
          <w:p w14:paraId="56E1EAE1" w14:textId="1D79BAAD" w:rsidR="003C045B" w:rsidRPr="00AC21F0" w:rsidRDefault="003C045B" w:rsidP="006A0740">
            <w:pPr>
              <w:spacing w:line="240" w:lineRule="atLeast"/>
              <w:jc w:val="center"/>
              <w:rPr>
                <w:rFonts w:ascii="Times New Roman" w:eastAsia="Calibri" w:hAnsi="Times New Roman" w:cs="Times New Roman"/>
                <w:sz w:val="20"/>
                <w:szCs w:val="20"/>
                <w:highlight w:val="yellow"/>
                <w:lang w:val="en-US"/>
              </w:rPr>
            </w:pPr>
          </w:p>
        </w:tc>
        <w:tc>
          <w:tcPr>
            <w:tcW w:w="5040" w:type="dxa"/>
          </w:tcPr>
          <w:p w14:paraId="13F2444B" w14:textId="77777777" w:rsidR="00CC70E1" w:rsidRPr="00AC21F0" w:rsidRDefault="00CC70E1" w:rsidP="006A0740">
            <w:pPr>
              <w:spacing w:line="240" w:lineRule="atLeast"/>
              <w:jc w:val="both"/>
              <w:rPr>
                <w:rFonts w:ascii="Times New Roman" w:hAnsi="Times New Roman" w:cs="Times New Roman"/>
                <w:sz w:val="20"/>
                <w:szCs w:val="20"/>
              </w:rPr>
            </w:pPr>
          </w:p>
          <w:p w14:paraId="04A6CBB8" w14:textId="77777777" w:rsidR="00931B73" w:rsidRPr="00AC21F0" w:rsidRDefault="00931B73" w:rsidP="006A0740">
            <w:pPr>
              <w:spacing w:line="240" w:lineRule="atLeast"/>
              <w:jc w:val="both"/>
              <w:rPr>
                <w:rFonts w:ascii="Times New Roman" w:hAnsi="Times New Roman" w:cs="Times New Roman"/>
                <w:sz w:val="20"/>
                <w:szCs w:val="20"/>
              </w:rPr>
            </w:pPr>
          </w:p>
          <w:p w14:paraId="39878DB6" w14:textId="7F287030" w:rsidR="00931B73" w:rsidRPr="00AC21F0" w:rsidRDefault="00931B73" w:rsidP="006A0740">
            <w:pPr>
              <w:spacing w:line="240" w:lineRule="atLeast"/>
              <w:jc w:val="both"/>
              <w:rPr>
                <w:rFonts w:ascii="Times New Roman" w:eastAsia="Calibri" w:hAnsi="Times New Roman" w:cs="Times New Roman"/>
                <w:sz w:val="20"/>
                <w:szCs w:val="20"/>
                <w:lang w:val="sq-AL"/>
              </w:rPr>
            </w:pPr>
            <w:r w:rsidRPr="00AC21F0">
              <w:rPr>
                <w:rFonts w:ascii="Times New Roman" w:hAnsi="Times New Roman" w:cs="Times New Roman"/>
                <w:sz w:val="20"/>
                <w:szCs w:val="20"/>
              </w:rPr>
              <w:lastRenderedPageBreak/>
              <w:t xml:space="preserve">The tax administration, payment service providers and the </w:t>
            </w:r>
            <w:r w:rsidR="00804539" w:rsidRPr="00804539">
              <w:rPr>
                <w:rFonts w:ascii="Times New Roman" w:hAnsi="Times New Roman" w:cs="Times New Roman"/>
                <w:sz w:val="20"/>
                <w:szCs w:val="20"/>
              </w:rPr>
              <w:t>National Information Society Agency</w:t>
            </w:r>
            <w:r w:rsidRPr="00AC21F0">
              <w:rPr>
                <w:rFonts w:ascii="Times New Roman" w:hAnsi="Times New Roman" w:cs="Times New Roman"/>
                <w:sz w:val="20"/>
                <w:szCs w:val="20"/>
              </w:rPr>
              <w:t xml:space="preserve"> shall be responsible for the implementation of this Law and for taking the necessary measures to ensure its implementation from the date of Republic of Albania’s accession to the European Union, in accordance with Article 18 of this Law.</w:t>
            </w:r>
          </w:p>
          <w:p w14:paraId="5D58DDFC" w14:textId="3548FD8A" w:rsidR="00931B73" w:rsidRPr="00AC21F0" w:rsidRDefault="00931B73" w:rsidP="006A0740">
            <w:pPr>
              <w:spacing w:line="240" w:lineRule="atLeast"/>
              <w:jc w:val="both"/>
              <w:rPr>
                <w:rFonts w:ascii="Times New Roman" w:eastAsia="Calibri" w:hAnsi="Times New Roman" w:cs="Times New Roman"/>
                <w:sz w:val="20"/>
                <w:szCs w:val="20"/>
                <w:lang w:val="sq-AL"/>
              </w:rPr>
            </w:pPr>
          </w:p>
          <w:p w14:paraId="4C336DAD" w14:textId="6C0357D1" w:rsidR="00931B73" w:rsidRPr="00AC21F0" w:rsidRDefault="00931B73" w:rsidP="006A0740">
            <w:pPr>
              <w:spacing w:line="240" w:lineRule="atLeast"/>
              <w:jc w:val="both"/>
              <w:rPr>
                <w:rFonts w:ascii="Times New Roman" w:eastAsia="Calibri" w:hAnsi="Times New Roman" w:cs="Times New Roman"/>
                <w:sz w:val="20"/>
                <w:szCs w:val="20"/>
                <w:lang w:val="sq-AL"/>
              </w:rPr>
            </w:pPr>
          </w:p>
          <w:p w14:paraId="574CE230" w14:textId="3B8E2F9E" w:rsidR="00931B73" w:rsidRPr="00AC21F0" w:rsidRDefault="00931B73" w:rsidP="006A0740">
            <w:pPr>
              <w:spacing w:line="240" w:lineRule="atLeast"/>
              <w:jc w:val="both"/>
              <w:rPr>
                <w:rFonts w:ascii="Times New Roman" w:eastAsia="Calibri" w:hAnsi="Times New Roman" w:cs="Times New Roman"/>
                <w:sz w:val="20"/>
                <w:szCs w:val="20"/>
                <w:lang w:val="sq-AL"/>
              </w:rPr>
            </w:pPr>
          </w:p>
          <w:p w14:paraId="45C51540" w14:textId="77777777" w:rsidR="00931B73" w:rsidRPr="00AC21F0" w:rsidRDefault="00931B73" w:rsidP="006A0740">
            <w:pPr>
              <w:spacing w:line="240" w:lineRule="atLeast"/>
              <w:jc w:val="center"/>
              <w:rPr>
                <w:rFonts w:ascii="Times New Roman" w:eastAsia="Calibri" w:hAnsi="Times New Roman" w:cs="Times New Roman"/>
                <w:sz w:val="20"/>
                <w:szCs w:val="20"/>
                <w:lang w:val="sq-AL"/>
              </w:rPr>
            </w:pPr>
            <w:r w:rsidRPr="00AC21F0">
              <w:rPr>
                <w:rFonts w:ascii="Times New Roman" w:eastAsia="Calibri" w:hAnsi="Times New Roman" w:cs="Times New Roman"/>
                <w:sz w:val="20"/>
                <w:szCs w:val="20"/>
                <w:lang w:val="sq-AL"/>
              </w:rPr>
              <w:t>Article 17</w:t>
            </w:r>
          </w:p>
          <w:p w14:paraId="34CD1E14" w14:textId="77777777" w:rsidR="00931B73" w:rsidRPr="00AC21F0" w:rsidRDefault="00931B73" w:rsidP="006A0740">
            <w:pPr>
              <w:spacing w:line="240" w:lineRule="atLeast"/>
              <w:jc w:val="center"/>
              <w:rPr>
                <w:rFonts w:ascii="Times New Roman" w:eastAsia="Calibri" w:hAnsi="Times New Roman" w:cs="Times New Roman"/>
                <w:sz w:val="20"/>
                <w:szCs w:val="20"/>
                <w:lang w:val="sq-AL"/>
              </w:rPr>
            </w:pPr>
            <w:r w:rsidRPr="00AC21F0">
              <w:rPr>
                <w:rFonts w:ascii="Times New Roman" w:eastAsia="Calibri" w:hAnsi="Times New Roman" w:cs="Times New Roman"/>
                <w:sz w:val="20"/>
                <w:szCs w:val="20"/>
                <w:lang w:val="sq-AL"/>
              </w:rPr>
              <w:t>Bylaws</w:t>
            </w:r>
          </w:p>
          <w:p w14:paraId="58C5949E" w14:textId="1268A130" w:rsidR="00931B73" w:rsidRPr="00AC21F0" w:rsidRDefault="00931B73" w:rsidP="006A0740">
            <w:pPr>
              <w:spacing w:line="240" w:lineRule="atLeast"/>
              <w:jc w:val="both"/>
              <w:rPr>
                <w:rFonts w:ascii="Times New Roman" w:eastAsia="Calibri" w:hAnsi="Times New Roman" w:cs="Times New Roman"/>
                <w:sz w:val="20"/>
                <w:szCs w:val="20"/>
                <w:lang w:val="sq-AL"/>
              </w:rPr>
            </w:pPr>
            <w:r w:rsidRPr="00AC21F0">
              <w:rPr>
                <w:rFonts w:ascii="Times New Roman" w:eastAsia="Calibri" w:hAnsi="Times New Roman" w:cs="Times New Roman"/>
                <w:sz w:val="20"/>
                <w:szCs w:val="20"/>
                <w:lang w:val="sq-AL"/>
              </w:rPr>
              <w:t xml:space="preserve">Within 6 months from the entry into force of the law, the Council of Ministers shall adopt the </w:t>
            </w:r>
            <w:r w:rsidR="00BF1CFB" w:rsidRPr="00AC21F0">
              <w:rPr>
                <w:rFonts w:ascii="Times New Roman" w:eastAsia="Calibri" w:hAnsi="Times New Roman" w:cs="Times New Roman"/>
                <w:sz w:val="20"/>
                <w:szCs w:val="20"/>
                <w:lang w:val="sq-AL"/>
              </w:rPr>
              <w:t xml:space="preserve">Decision </w:t>
            </w:r>
            <w:r w:rsidRPr="00AC21F0">
              <w:rPr>
                <w:rFonts w:ascii="Times New Roman" w:eastAsia="Calibri" w:hAnsi="Times New Roman" w:cs="Times New Roman"/>
                <w:sz w:val="20"/>
                <w:szCs w:val="20"/>
                <w:lang w:val="sq-AL"/>
              </w:rPr>
              <w:t>determining the detailed rules, procedures and technical aspects for other actions of the law.</w:t>
            </w:r>
          </w:p>
          <w:p w14:paraId="7AD350A7" w14:textId="6C65E1E1" w:rsidR="003C045B" w:rsidRPr="00AC21F0" w:rsidRDefault="003C045B" w:rsidP="006A0740">
            <w:pPr>
              <w:spacing w:line="240" w:lineRule="atLeast"/>
              <w:jc w:val="both"/>
              <w:rPr>
                <w:rFonts w:ascii="Times New Roman" w:eastAsia="Calibri" w:hAnsi="Times New Roman" w:cs="Times New Roman"/>
                <w:sz w:val="20"/>
                <w:szCs w:val="20"/>
                <w:lang w:val="sq-AL"/>
              </w:rPr>
            </w:pPr>
          </w:p>
        </w:tc>
        <w:tc>
          <w:tcPr>
            <w:tcW w:w="720" w:type="dxa"/>
          </w:tcPr>
          <w:p w14:paraId="17CA02B8" w14:textId="2C5FF8E1" w:rsidR="003C045B" w:rsidRPr="00AC21F0" w:rsidRDefault="003C045B" w:rsidP="006A0740">
            <w:pPr>
              <w:spacing w:line="240" w:lineRule="atLeast"/>
              <w:jc w:val="center"/>
              <w:rPr>
                <w:rFonts w:ascii="Times New Roman" w:eastAsia="Calibri" w:hAnsi="Times New Roman" w:cs="Times New Roman"/>
                <w:sz w:val="20"/>
                <w:szCs w:val="20"/>
                <w:lang w:val="sq-AL"/>
              </w:rPr>
            </w:pPr>
          </w:p>
        </w:tc>
        <w:tc>
          <w:tcPr>
            <w:tcW w:w="3510" w:type="dxa"/>
          </w:tcPr>
          <w:p w14:paraId="5CF47594" w14:textId="1A6E25A3" w:rsidR="00147181" w:rsidRPr="00AC21F0" w:rsidRDefault="00147181" w:rsidP="006A0740">
            <w:pPr>
              <w:spacing w:line="240" w:lineRule="atLeast"/>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National provision.</w:t>
            </w:r>
          </w:p>
          <w:p w14:paraId="1FD42302" w14:textId="1B9753E6" w:rsidR="00DA1204" w:rsidRPr="00AC21F0" w:rsidRDefault="003C045B" w:rsidP="006A0740">
            <w:pPr>
              <w:spacing w:line="240" w:lineRule="atLeast"/>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lastRenderedPageBreak/>
              <w:t>Article 1</w:t>
            </w:r>
            <w:r w:rsidR="00931B73" w:rsidRPr="00AC21F0">
              <w:rPr>
                <w:rFonts w:ascii="Times New Roman" w:eastAsia="Times New Roman" w:hAnsi="Times New Roman" w:cs="Times New Roman"/>
                <w:sz w:val="20"/>
                <w:szCs w:val="20"/>
              </w:rPr>
              <w:t>6</w:t>
            </w:r>
            <w:r w:rsidRPr="00AC21F0">
              <w:rPr>
                <w:rFonts w:ascii="Times New Roman" w:eastAsia="Times New Roman" w:hAnsi="Times New Roman" w:cs="Times New Roman"/>
                <w:sz w:val="20"/>
                <w:szCs w:val="20"/>
              </w:rPr>
              <w:t xml:space="preserve"> is consistent with Implementing Regulation (EU) 2022/1504 and national legal practices. </w:t>
            </w:r>
          </w:p>
          <w:p w14:paraId="62277331" w14:textId="681E49ED" w:rsidR="003C045B" w:rsidRPr="00AC21F0" w:rsidRDefault="003C045B" w:rsidP="006A0740">
            <w:pPr>
              <w:spacing w:line="240" w:lineRule="atLeast"/>
              <w:rPr>
                <w:rFonts w:ascii="Times New Roman" w:eastAsia="Calibri" w:hAnsi="Times New Roman" w:cs="Times New Roman"/>
                <w:sz w:val="20"/>
                <w:szCs w:val="20"/>
                <w:lang w:val="en-US"/>
              </w:rPr>
            </w:pPr>
            <w:r w:rsidRPr="00AC21F0">
              <w:rPr>
                <w:rFonts w:ascii="Times New Roman" w:eastAsia="Times New Roman" w:hAnsi="Times New Roman" w:cs="Times New Roman"/>
                <w:sz w:val="20"/>
                <w:szCs w:val="20"/>
              </w:rPr>
              <w:t xml:space="preserve">It </w:t>
            </w:r>
            <w:r w:rsidR="00DA1204" w:rsidRPr="00AC21F0">
              <w:rPr>
                <w:rFonts w:ascii="Times New Roman" w:eastAsia="Times New Roman" w:hAnsi="Times New Roman" w:cs="Times New Roman"/>
                <w:sz w:val="20"/>
                <w:szCs w:val="20"/>
              </w:rPr>
              <w:t xml:space="preserve">defins the responsible institutions fo rthe implementatin thi s law and se the obligtaions for them to undertake the </w:t>
            </w:r>
            <w:r w:rsidR="00DA1204" w:rsidRPr="00AC21F0">
              <w:rPr>
                <w:rFonts w:ascii="Times New Roman" w:hAnsi="Times New Roman" w:cs="Times New Roman"/>
                <w:sz w:val="20"/>
                <w:szCs w:val="20"/>
              </w:rPr>
              <w:t>necessary measures to ensure its implementation from the date of Albania’s accession to the European Union</w:t>
            </w:r>
            <w:r w:rsidR="00DA1204" w:rsidRPr="00AC21F0" w:rsidDel="00DA1204">
              <w:rPr>
                <w:rFonts w:ascii="Times New Roman" w:eastAsia="Times New Roman" w:hAnsi="Times New Roman" w:cs="Times New Roman"/>
                <w:sz w:val="20"/>
                <w:szCs w:val="20"/>
              </w:rPr>
              <w:t xml:space="preserve"> </w:t>
            </w:r>
          </w:p>
        </w:tc>
      </w:tr>
      <w:tr w:rsidR="003C045B" w:rsidRPr="00AC21F0" w14:paraId="4DDC655C" w14:textId="77777777" w:rsidTr="00990A3C">
        <w:tc>
          <w:tcPr>
            <w:tcW w:w="540" w:type="dxa"/>
          </w:tcPr>
          <w:p w14:paraId="709E465B" w14:textId="36F5F544"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shd w:val="clear" w:color="auto" w:fill="D0CECE" w:themeFill="background2" w:themeFillShade="E6"/>
          </w:tcPr>
          <w:p w14:paraId="02FE104A" w14:textId="3B9DFCBF" w:rsidR="003C045B" w:rsidRPr="00AC21F0" w:rsidRDefault="003C045B" w:rsidP="006A0740">
            <w:pPr>
              <w:spacing w:line="240" w:lineRule="atLeast"/>
              <w:jc w:val="both"/>
              <w:rPr>
                <w:rFonts w:ascii="Times New Roman" w:eastAsia="Calibri" w:hAnsi="Times New Roman" w:cs="Times New Roman"/>
                <w:i/>
                <w:iCs/>
                <w:sz w:val="20"/>
                <w:szCs w:val="20"/>
                <w:lang w:val="en-US"/>
              </w:rPr>
            </w:pPr>
          </w:p>
        </w:tc>
        <w:tc>
          <w:tcPr>
            <w:tcW w:w="450" w:type="dxa"/>
            <w:shd w:val="clear" w:color="auto" w:fill="D0CECE" w:themeFill="background2" w:themeFillShade="E6"/>
          </w:tcPr>
          <w:p w14:paraId="43C9614A" w14:textId="12E6CEF3" w:rsidR="003C045B" w:rsidRPr="00AC21F0" w:rsidRDefault="003C045B" w:rsidP="006A0740">
            <w:pPr>
              <w:spacing w:line="240" w:lineRule="atLeast"/>
              <w:jc w:val="center"/>
              <w:rPr>
                <w:rFonts w:ascii="Times New Roman" w:eastAsia="Calibri" w:hAnsi="Times New Roman" w:cs="Times New Roman"/>
                <w:i/>
                <w:iCs/>
                <w:sz w:val="20"/>
                <w:szCs w:val="20"/>
              </w:rPr>
            </w:pPr>
          </w:p>
        </w:tc>
        <w:tc>
          <w:tcPr>
            <w:tcW w:w="644" w:type="dxa"/>
            <w:shd w:val="clear" w:color="auto" w:fill="D0CECE" w:themeFill="background2" w:themeFillShade="E6"/>
          </w:tcPr>
          <w:p w14:paraId="05BDF9B8" w14:textId="7E6F679C" w:rsidR="003C045B" w:rsidRPr="00AC21F0" w:rsidRDefault="003C045B" w:rsidP="006A0740">
            <w:pPr>
              <w:spacing w:line="240" w:lineRule="atLeast"/>
              <w:jc w:val="center"/>
              <w:rPr>
                <w:rFonts w:ascii="Times New Roman" w:eastAsia="Calibri" w:hAnsi="Times New Roman" w:cs="Times New Roman"/>
                <w:iCs/>
                <w:sz w:val="20"/>
                <w:szCs w:val="20"/>
                <w:highlight w:val="cyan"/>
                <w:lang w:val="en-US"/>
              </w:rPr>
            </w:pPr>
          </w:p>
        </w:tc>
        <w:tc>
          <w:tcPr>
            <w:tcW w:w="5040" w:type="dxa"/>
            <w:shd w:val="clear" w:color="auto" w:fill="D0CECE" w:themeFill="background2" w:themeFillShade="E6"/>
          </w:tcPr>
          <w:p w14:paraId="15B66437" w14:textId="77777777" w:rsidR="00931B73" w:rsidRPr="00AC21F0" w:rsidRDefault="00931B73" w:rsidP="006A0740">
            <w:pPr>
              <w:spacing w:line="240" w:lineRule="atLeast"/>
              <w:jc w:val="center"/>
              <w:rPr>
                <w:rFonts w:ascii="Times New Roman" w:hAnsi="Times New Roman" w:cs="Times New Roman"/>
                <w:iCs/>
                <w:sz w:val="20"/>
                <w:szCs w:val="20"/>
                <w:lang w:val="sq-AL"/>
              </w:rPr>
            </w:pPr>
            <w:r w:rsidRPr="00AC21F0">
              <w:rPr>
                <w:rFonts w:ascii="Times New Roman" w:hAnsi="Times New Roman" w:cs="Times New Roman"/>
                <w:iCs/>
                <w:sz w:val="20"/>
                <w:szCs w:val="20"/>
                <w:lang w:val="sq-AL"/>
              </w:rPr>
              <w:t>Article 18</w:t>
            </w:r>
          </w:p>
          <w:p w14:paraId="18A13A99" w14:textId="47D496CC" w:rsidR="003C045B" w:rsidRPr="00AC21F0" w:rsidRDefault="00931B73" w:rsidP="006A0740">
            <w:pPr>
              <w:spacing w:line="240" w:lineRule="atLeast"/>
              <w:jc w:val="center"/>
              <w:rPr>
                <w:rFonts w:ascii="Times New Roman" w:eastAsia="Calibri" w:hAnsi="Times New Roman" w:cs="Times New Roman"/>
                <w:iCs/>
                <w:sz w:val="20"/>
                <w:szCs w:val="20"/>
                <w:lang w:val="en-US"/>
              </w:rPr>
            </w:pPr>
            <w:r w:rsidRPr="00AC21F0">
              <w:rPr>
                <w:rFonts w:ascii="Times New Roman" w:hAnsi="Times New Roman" w:cs="Times New Roman"/>
                <w:iCs/>
                <w:sz w:val="20"/>
                <w:szCs w:val="20"/>
                <w:lang w:val="sq-AL"/>
              </w:rPr>
              <w:t>Entry into force</w:t>
            </w:r>
          </w:p>
        </w:tc>
        <w:tc>
          <w:tcPr>
            <w:tcW w:w="720" w:type="dxa"/>
            <w:shd w:val="clear" w:color="auto" w:fill="D0CECE" w:themeFill="background2" w:themeFillShade="E6"/>
          </w:tcPr>
          <w:p w14:paraId="7C51AE8F" w14:textId="4141EDDB" w:rsidR="003C045B" w:rsidRPr="00AC21F0" w:rsidRDefault="003C045B" w:rsidP="006A0740">
            <w:pPr>
              <w:spacing w:line="240" w:lineRule="atLeast"/>
              <w:jc w:val="center"/>
              <w:rPr>
                <w:rFonts w:ascii="Times New Roman" w:eastAsia="Calibri" w:hAnsi="Times New Roman" w:cs="Times New Roman"/>
                <w:i/>
                <w:iCs/>
                <w:sz w:val="20"/>
                <w:szCs w:val="20"/>
                <w:lang w:val="en-US"/>
              </w:rPr>
            </w:pPr>
          </w:p>
        </w:tc>
        <w:tc>
          <w:tcPr>
            <w:tcW w:w="3510" w:type="dxa"/>
            <w:shd w:val="clear" w:color="auto" w:fill="D0CECE" w:themeFill="background2" w:themeFillShade="E6"/>
          </w:tcPr>
          <w:p w14:paraId="64A29FE1" w14:textId="473745A6" w:rsidR="003C045B" w:rsidRPr="00AC21F0" w:rsidRDefault="003C045B" w:rsidP="006A0740">
            <w:pPr>
              <w:spacing w:line="240" w:lineRule="atLeast"/>
              <w:rPr>
                <w:rFonts w:ascii="Times New Roman" w:eastAsia="Calibri" w:hAnsi="Times New Roman" w:cs="Times New Roman"/>
                <w:i/>
                <w:iCs/>
                <w:sz w:val="20"/>
                <w:szCs w:val="20"/>
                <w:lang w:val="en-US"/>
              </w:rPr>
            </w:pPr>
          </w:p>
        </w:tc>
      </w:tr>
      <w:tr w:rsidR="003C045B" w:rsidRPr="00AC21F0" w14:paraId="6A9A6B6E" w14:textId="77777777" w:rsidTr="004738EE">
        <w:tc>
          <w:tcPr>
            <w:tcW w:w="540" w:type="dxa"/>
          </w:tcPr>
          <w:p w14:paraId="1B296679" w14:textId="655FEA8B" w:rsidR="003C045B" w:rsidRPr="00AC21F0" w:rsidRDefault="003C045B" w:rsidP="006A0740">
            <w:pPr>
              <w:spacing w:line="240" w:lineRule="atLeast"/>
              <w:jc w:val="both"/>
              <w:rPr>
                <w:rFonts w:ascii="Times New Roman" w:eastAsia="Calibri" w:hAnsi="Times New Roman" w:cs="Times New Roman"/>
                <w:sz w:val="20"/>
                <w:szCs w:val="20"/>
                <w:lang w:val="en-US"/>
              </w:rPr>
            </w:pPr>
          </w:p>
        </w:tc>
        <w:tc>
          <w:tcPr>
            <w:tcW w:w="5400" w:type="dxa"/>
          </w:tcPr>
          <w:p w14:paraId="25E6F0F1" w14:textId="77777777" w:rsidR="00147181" w:rsidRPr="00AC21F0" w:rsidRDefault="00147181" w:rsidP="006A0740">
            <w:pPr>
              <w:pStyle w:val="oj-ti-art"/>
              <w:shd w:val="clear" w:color="auto" w:fill="FFFFFF"/>
              <w:spacing w:before="360" w:beforeAutospacing="0" w:after="120" w:afterAutospacing="0" w:line="240" w:lineRule="atLeast"/>
              <w:jc w:val="center"/>
              <w:rPr>
                <w:i/>
                <w:iCs/>
                <w:color w:val="333333"/>
                <w:sz w:val="20"/>
                <w:szCs w:val="20"/>
              </w:rPr>
            </w:pPr>
            <w:r w:rsidRPr="00AC21F0">
              <w:rPr>
                <w:i/>
                <w:iCs/>
                <w:color w:val="333333"/>
                <w:sz w:val="20"/>
                <w:szCs w:val="20"/>
              </w:rPr>
              <w:t>Article 2</w:t>
            </w:r>
          </w:p>
          <w:p w14:paraId="27B60B98" w14:textId="77777777" w:rsidR="00147181" w:rsidRPr="00AC21F0" w:rsidRDefault="00147181" w:rsidP="006A0740">
            <w:pPr>
              <w:pStyle w:val="oj-normal"/>
              <w:shd w:val="clear" w:color="auto" w:fill="FFFFFF"/>
              <w:spacing w:before="120" w:beforeAutospacing="0" w:after="0" w:afterAutospacing="0" w:line="240" w:lineRule="atLeast"/>
              <w:jc w:val="both"/>
              <w:rPr>
                <w:color w:val="333333"/>
                <w:sz w:val="20"/>
                <w:szCs w:val="20"/>
              </w:rPr>
            </w:pPr>
            <w:r w:rsidRPr="00AC21F0">
              <w:rPr>
                <w:color w:val="333333"/>
                <w:sz w:val="20"/>
                <w:szCs w:val="20"/>
              </w:rPr>
              <w:t>1.   Member States shall adopt and publish, by 31 December 2023 at the latest, the laws, regulations and administrative provisions necessary to comply with this Directive. They shall forthwith communicate the text of those provisions to the Commission.</w:t>
            </w:r>
          </w:p>
          <w:p w14:paraId="0DE788FC" w14:textId="77777777" w:rsidR="00147181" w:rsidRPr="00AC21F0" w:rsidRDefault="00147181" w:rsidP="006A0740">
            <w:pPr>
              <w:pStyle w:val="oj-normal"/>
              <w:shd w:val="clear" w:color="auto" w:fill="FFFFFF"/>
              <w:spacing w:before="120" w:beforeAutospacing="0" w:after="0" w:afterAutospacing="0" w:line="240" w:lineRule="atLeast"/>
              <w:jc w:val="both"/>
              <w:rPr>
                <w:color w:val="333333"/>
                <w:sz w:val="20"/>
                <w:szCs w:val="20"/>
              </w:rPr>
            </w:pPr>
            <w:r w:rsidRPr="00AC21F0">
              <w:rPr>
                <w:color w:val="333333"/>
                <w:sz w:val="20"/>
                <w:szCs w:val="20"/>
              </w:rPr>
              <w:t>They shall apply those provisions from 1 January 2024.</w:t>
            </w:r>
          </w:p>
          <w:p w14:paraId="067ED8F5" w14:textId="77777777" w:rsidR="00147181" w:rsidRPr="00AC21F0" w:rsidRDefault="00147181" w:rsidP="006A0740">
            <w:pPr>
              <w:pStyle w:val="oj-normal"/>
              <w:shd w:val="clear" w:color="auto" w:fill="FFFFFF"/>
              <w:spacing w:before="120" w:beforeAutospacing="0" w:after="0" w:afterAutospacing="0" w:line="240" w:lineRule="atLeast"/>
              <w:jc w:val="both"/>
              <w:rPr>
                <w:color w:val="333333"/>
                <w:sz w:val="20"/>
                <w:szCs w:val="20"/>
              </w:rPr>
            </w:pPr>
            <w:r w:rsidRPr="00AC21F0">
              <w:rPr>
                <w:color w:val="333333"/>
                <w:sz w:val="20"/>
                <w:szCs w:val="20"/>
              </w:rPr>
              <w:t>When Member States adopt those provisions, they shall contain a reference to this Directive or be accompanied by such a reference on the occasion of their official publication. Member States shall determine how such reference is to be made.</w:t>
            </w:r>
          </w:p>
          <w:p w14:paraId="4B55E554" w14:textId="77777777" w:rsidR="00147181" w:rsidRPr="00AC21F0" w:rsidRDefault="00147181" w:rsidP="006A0740">
            <w:pPr>
              <w:pStyle w:val="oj-normal"/>
              <w:shd w:val="clear" w:color="auto" w:fill="FFFFFF"/>
              <w:spacing w:before="120" w:beforeAutospacing="0" w:after="0" w:afterAutospacing="0" w:line="240" w:lineRule="atLeast"/>
              <w:jc w:val="both"/>
              <w:rPr>
                <w:color w:val="333333"/>
                <w:sz w:val="20"/>
                <w:szCs w:val="20"/>
              </w:rPr>
            </w:pPr>
            <w:r w:rsidRPr="00AC21F0">
              <w:rPr>
                <w:color w:val="333333"/>
                <w:sz w:val="20"/>
                <w:szCs w:val="20"/>
              </w:rPr>
              <w:lastRenderedPageBreak/>
              <w:t>2.   Member States shall communicate to the Commission the text of the main provisions of national law which they adopt in the field covered by this Directive.</w:t>
            </w:r>
          </w:p>
          <w:p w14:paraId="394B9571" w14:textId="77777777" w:rsidR="00147181" w:rsidRPr="00AC21F0" w:rsidRDefault="00147181" w:rsidP="006A0740">
            <w:pPr>
              <w:pStyle w:val="oj-ti-art"/>
              <w:shd w:val="clear" w:color="auto" w:fill="FFFFFF"/>
              <w:spacing w:before="360" w:beforeAutospacing="0" w:after="120" w:afterAutospacing="0" w:line="240" w:lineRule="atLeast"/>
              <w:jc w:val="center"/>
              <w:rPr>
                <w:i/>
                <w:iCs/>
                <w:color w:val="333333"/>
                <w:sz w:val="20"/>
                <w:szCs w:val="20"/>
              </w:rPr>
            </w:pPr>
            <w:r w:rsidRPr="00AC21F0">
              <w:rPr>
                <w:i/>
                <w:iCs/>
                <w:color w:val="333333"/>
                <w:sz w:val="20"/>
                <w:szCs w:val="20"/>
              </w:rPr>
              <w:t>Article 3</w:t>
            </w:r>
          </w:p>
          <w:p w14:paraId="23B0E64C" w14:textId="77777777" w:rsidR="00147181" w:rsidRPr="00AC21F0" w:rsidRDefault="00147181" w:rsidP="006A0740">
            <w:pPr>
              <w:pStyle w:val="oj-normal"/>
              <w:shd w:val="clear" w:color="auto" w:fill="FFFFFF"/>
              <w:spacing w:before="120" w:beforeAutospacing="0" w:after="0" w:afterAutospacing="0" w:line="240" w:lineRule="atLeast"/>
              <w:jc w:val="both"/>
              <w:rPr>
                <w:color w:val="333333"/>
                <w:sz w:val="20"/>
                <w:szCs w:val="20"/>
              </w:rPr>
            </w:pPr>
            <w:r w:rsidRPr="00AC21F0">
              <w:rPr>
                <w:color w:val="333333"/>
                <w:sz w:val="20"/>
                <w:szCs w:val="20"/>
              </w:rPr>
              <w:t>This Directive shall enter into force on the twentieth day following that of its publication in the </w:t>
            </w:r>
            <w:r w:rsidRPr="00AC21F0">
              <w:rPr>
                <w:rStyle w:val="oj-italic"/>
                <w:i/>
                <w:iCs/>
                <w:color w:val="333333"/>
                <w:sz w:val="20"/>
                <w:szCs w:val="20"/>
              </w:rPr>
              <w:t>Official Journal of the European Union</w:t>
            </w:r>
            <w:r w:rsidRPr="00AC21F0">
              <w:rPr>
                <w:color w:val="333333"/>
                <w:sz w:val="20"/>
                <w:szCs w:val="20"/>
              </w:rPr>
              <w:t>.</w:t>
            </w:r>
          </w:p>
          <w:p w14:paraId="1E4CE096" w14:textId="0A13348A" w:rsidR="003C045B" w:rsidRPr="00AC21F0" w:rsidRDefault="003C045B" w:rsidP="006A0740">
            <w:pPr>
              <w:spacing w:line="240" w:lineRule="atLeast"/>
              <w:jc w:val="both"/>
              <w:rPr>
                <w:rFonts w:ascii="Times New Roman" w:eastAsia="Calibri" w:hAnsi="Times New Roman" w:cs="Times New Roman"/>
                <w:iCs/>
                <w:sz w:val="20"/>
                <w:szCs w:val="20"/>
                <w:lang w:val="en-US"/>
              </w:rPr>
            </w:pPr>
          </w:p>
        </w:tc>
        <w:tc>
          <w:tcPr>
            <w:tcW w:w="450" w:type="dxa"/>
          </w:tcPr>
          <w:p w14:paraId="44F88698" w14:textId="77777777" w:rsidR="003C045B" w:rsidRPr="00AC21F0" w:rsidRDefault="003C045B" w:rsidP="006A0740">
            <w:pPr>
              <w:spacing w:line="240" w:lineRule="atLeast"/>
              <w:jc w:val="center"/>
              <w:rPr>
                <w:rFonts w:ascii="Times New Roman" w:eastAsia="Calibri" w:hAnsi="Times New Roman" w:cs="Times New Roman"/>
                <w:sz w:val="20"/>
                <w:szCs w:val="20"/>
                <w:highlight w:val="cyan"/>
              </w:rPr>
            </w:pPr>
          </w:p>
        </w:tc>
        <w:tc>
          <w:tcPr>
            <w:tcW w:w="644" w:type="dxa"/>
          </w:tcPr>
          <w:p w14:paraId="60795A2E" w14:textId="1FA62C27" w:rsidR="003C045B" w:rsidRPr="00AC21F0" w:rsidRDefault="003C045B" w:rsidP="006A0740">
            <w:pPr>
              <w:spacing w:line="240" w:lineRule="atLeast"/>
              <w:jc w:val="center"/>
              <w:rPr>
                <w:rFonts w:ascii="Times New Roman" w:eastAsia="Calibri" w:hAnsi="Times New Roman" w:cs="Times New Roman"/>
                <w:sz w:val="20"/>
                <w:szCs w:val="20"/>
                <w:highlight w:val="cyan"/>
                <w:lang w:val="en-US"/>
              </w:rPr>
            </w:pPr>
          </w:p>
        </w:tc>
        <w:tc>
          <w:tcPr>
            <w:tcW w:w="5040" w:type="dxa"/>
          </w:tcPr>
          <w:p w14:paraId="26D9334A" w14:textId="77777777" w:rsidR="00931B73" w:rsidRPr="00AC21F0" w:rsidRDefault="00931B73" w:rsidP="006A0740">
            <w:pPr>
              <w:spacing w:line="240" w:lineRule="atLeast"/>
              <w:jc w:val="both"/>
              <w:rPr>
                <w:rFonts w:ascii="Times New Roman" w:eastAsia="Times New Roman" w:hAnsi="Times New Roman" w:cs="Times New Roman"/>
                <w:sz w:val="20"/>
                <w:szCs w:val="20"/>
              </w:rPr>
            </w:pPr>
          </w:p>
          <w:p w14:paraId="16A32399" w14:textId="1826E2D8" w:rsidR="00931B73" w:rsidRPr="00AC21F0" w:rsidRDefault="00931B73" w:rsidP="006A0740">
            <w:pPr>
              <w:spacing w:line="240" w:lineRule="atLeast"/>
              <w:jc w:val="both"/>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1.</w:t>
            </w:r>
            <w:r w:rsidRPr="00AC21F0">
              <w:rPr>
                <w:rFonts w:ascii="Times New Roman" w:eastAsia="Times New Roman" w:hAnsi="Times New Roman" w:cs="Times New Roman"/>
                <w:sz w:val="20"/>
                <w:szCs w:val="20"/>
              </w:rPr>
              <w:tab/>
              <w:t>This Law shall enter into force 15 days after its publication in the Official Gazette.</w:t>
            </w:r>
          </w:p>
          <w:p w14:paraId="2A857D11" w14:textId="3B605A2C" w:rsidR="00CC70E1" w:rsidRPr="00AC21F0" w:rsidRDefault="00931B73" w:rsidP="006A0740">
            <w:pPr>
              <w:spacing w:line="240" w:lineRule="atLeast"/>
              <w:jc w:val="both"/>
              <w:rPr>
                <w:rFonts w:ascii="Times New Roman" w:eastAsia="Calibri" w:hAnsi="Times New Roman" w:cs="Times New Roman"/>
                <w:sz w:val="20"/>
                <w:szCs w:val="20"/>
              </w:rPr>
            </w:pPr>
            <w:r w:rsidRPr="00AC21F0">
              <w:rPr>
                <w:rFonts w:ascii="Times New Roman" w:eastAsia="Times New Roman" w:hAnsi="Times New Roman" w:cs="Times New Roman"/>
                <w:sz w:val="20"/>
                <w:szCs w:val="20"/>
              </w:rPr>
              <w:t>2.</w:t>
            </w:r>
            <w:r w:rsidRPr="00AC21F0">
              <w:rPr>
                <w:rFonts w:ascii="Times New Roman" w:eastAsia="Times New Roman" w:hAnsi="Times New Roman" w:cs="Times New Roman"/>
                <w:sz w:val="20"/>
                <w:szCs w:val="20"/>
              </w:rPr>
              <w:tab/>
              <w:t>The effects of this Law shall apply to cross-border payment services provided from 1 January of the year following Rebublic of Albania accession to the European Union, ensuring the reporting and administration of data in accordance with the standards laid down in this Law and the sublegal acts issued for its implementation.</w:t>
            </w:r>
          </w:p>
        </w:tc>
        <w:tc>
          <w:tcPr>
            <w:tcW w:w="720" w:type="dxa"/>
          </w:tcPr>
          <w:p w14:paraId="5E1BAD4C" w14:textId="365DF9DE" w:rsidR="003C045B" w:rsidRPr="00AC21F0" w:rsidRDefault="003C045B" w:rsidP="006A0740">
            <w:pPr>
              <w:spacing w:line="240" w:lineRule="atLeast"/>
              <w:jc w:val="center"/>
              <w:rPr>
                <w:rFonts w:ascii="Times New Roman" w:eastAsia="Calibri" w:hAnsi="Times New Roman" w:cs="Times New Roman"/>
                <w:sz w:val="20"/>
                <w:szCs w:val="20"/>
                <w:lang w:val="en-US"/>
              </w:rPr>
            </w:pPr>
            <w:r w:rsidRPr="00AC21F0">
              <w:rPr>
                <w:rFonts w:ascii="Times New Roman" w:eastAsia="Calibri" w:hAnsi="Times New Roman" w:cs="Times New Roman"/>
                <w:sz w:val="20"/>
                <w:szCs w:val="20"/>
              </w:rPr>
              <w:t>F</w:t>
            </w:r>
          </w:p>
        </w:tc>
        <w:tc>
          <w:tcPr>
            <w:tcW w:w="3510" w:type="dxa"/>
          </w:tcPr>
          <w:p w14:paraId="36788075" w14:textId="5C15979A" w:rsidR="003E0260" w:rsidRPr="00AC21F0" w:rsidRDefault="003C045B" w:rsidP="006A0740">
            <w:pPr>
              <w:spacing w:line="240" w:lineRule="atLeast"/>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Article 18 is consistent with</w:t>
            </w:r>
            <w:r w:rsidR="003E0260" w:rsidRPr="00AC21F0">
              <w:rPr>
                <w:rFonts w:ascii="Times New Roman" w:eastAsia="Times New Roman" w:hAnsi="Times New Roman" w:cs="Times New Roman"/>
                <w:sz w:val="20"/>
                <w:szCs w:val="20"/>
              </w:rPr>
              <w:t xml:space="preserve"> Regulation </w:t>
            </w:r>
            <w:r w:rsidRPr="00AC21F0">
              <w:rPr>
                <w:rFonts w:ascii="Times New Roman" w:eastAsia="Times New Roman" w:hAnsi="Times New Roman" w:cs="Times New Roman"/>
                <w:sz w:val="20"/>
                <w:szCs w:val="20"/>
              </w:rPr>
              <w:t xml:space="preserve"> </w:t>
            </w:r>
            <w:r w:rsidR="003E0260" w:rsidRPr="00AC21F0">
              <w:rPr>
                <w:rFonts w:ascii="Times New Roman" w:eastAsia="Times New Roman" w:hAnsi="Times New Roman" w:cs="Times New Roman"/>
                <w:sz w:val="20"/>
                <w:szCs w:val="20"/>
              </w:rPr>
              <w:t xml:space="preserve">2020/283, Directive 2020/284 and </w:t>
            </w:r>
            <w:r w:rsidRPr="00AC21F0">
              <w:rPr>
                <w:rFonts w:ascii="Times New Roman" w:eastAsia="Times New Roman" w:hAnsi="Times New Roman" w:cs="Times New Roman"/>
                <w:sz w:val="20"/>
                <w:szCs w:val="20"/>
              </w:rPr>
              <w:t xml:space="preserve">Implementing Regulation (EU) 2022/1504 and domestic legal practices. </w:t>
            </w:r>
          </w:p>
          <w:p w14:paraId="75DD6926" w14:textId="4E884296" w:rsidR="003E0260" w:rsidRPr="00AC21F0" w:rsidRDefault="003C045B" w:rsidP="006A0740">
            <w:pPr>
              <w:spacing w:line="240" w:lineRule="atLeast"/>
              <w:rPr>
                <w:rFonts w:ascii="Times New Roman" w:eastAsia="Times New Roman" w:hAnsi="Times New Roman" w:cs="Times New Roman"/>
                <w:sz w:val="20"/>
                <w:szCs w:val="20"/>
              </w:rPr>
            </w:pPr>
            <w:r w:rsidRPr="00AC21F0">
              <w:rPr>
                <w:rFonts w:ascii="Times New Roman" w:eastAsia="Times New Roman" w:hAnsi="Times New Roman" w:cs="Times New Roman"/>
                <w:sz w:val="20"/>
                <w:szCs w:val="20"/>
              </w:rPr>
              <w:t>It clearly sets out the</w:t>
            </w:r>
            <w:r w:rsidR="003E0260" w:rsidRPr="00AC21F0">
              <w:rPr>
                <w:rFonts w:ascii="Times New Roman" w:eastAsia="Times New Roman" w:hAnsi="Times New Roman" w:cs="Times New Roman"/>
                <w:sz w:val="20"/>
                <w:szCs w:val="20"/>
              </w:rPr>
              <w:t xml:space="preserve"> transitory period from the entry into force of this law accoring to nationa legal practice up to the date of apllication that is the date of albanain membership to  EU.</w:t>
            </w:r>
          </w:p>
          <w:p w14:paraId="71B5E837" w14:textId="3784CFF1" w:rsidR="003C045B" w:rsidRPr="00AC21F0" w:rsidRDefault="003C045B" w:rsidP="006A0740">
            <w:pPr>
              <w:spacing w:line="240" w:lineRule="atLeast"/>
              <w:rPr>
                <w:rFonts w:ascii="Times New Roman" w:eastAsia="Calibri" w:hAnsi="Times New Roman" w:cs="Times New Roman"/>
                <w:sz w:val="20"/>
                <w:szCs w:val="20"/>
                <w:highlight w:val="yellow"/>
                <w:lang w:val="en-US"/>
              </w:rPr>
            </w:pPr>
            <w:r w:rsidRPr="00AC21F0">
              <w:rPr>
                <w:rFonts w:ascii="Times New Roman" w:eastAsia="Times New Roman" w:hAnsi="Times New Roman" w:cs="Times New Roman"/>
                <w:sz w:val="20"/>
                <w:szCs w:val="20"/>
              </w:rPr>
              <w:t xml:space="preserve"> </w:t>
            </w:r>
          </w:p>
        </w:tc>
      </w:tr>
    </w:tbl>
    <w:p w14:paraId="4E2D4073" w14:textId="77777777" w:rsidR="009A20F7" w:rsidRPr="00AC21F0" w:rsidRDefault="009A20F7" w:rsidP="006A0740">
      <w:pPr>
        <w:spacing w:line="240" w:lineRule="atLeast"/>
        <w:rPr>
          <w:rFonts w:ascii="Times New Roman" w:hAnsi="Times New Roman" w:cs="Times New Roman"/>
          <w:sz w:val="20"/>
          <w:szCs w:val="20"/>
        </w:rPr>
      </w:pPr>
    </w:p>
    <w:sectPr w:rsidR="009A20F7" w:rsidRPr="00AC21F0" w:rsidSect="003F6C69">
      <w:footerReference w:type="default" r:id="rId10"/>
      <w:pgSz w:w="16838" w:h="11906" w:orient="landscape"/>
      <w:pgMar w:top="1701"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8247" w14:textId="77777777" w:rsidR="009B2162" w:rsidRDefault="009B2162" w:rsidP="00922FEB">
      <w:pPr>
        <w:spacing w:after="0" w:line="240" w:lineRule="auto"/>
      </w:pPr>
      <w:r>
        <w:separator/>
      </w:r>
    </w:p>
  </w:endnote>
  <w:endnote w:type="continuationSeparator" w:id="0">
    <w:p w14:paraId="008B94AD" w14:textId="77777777" w:rsidR="009B2162" w:rsidRDefault="009B2162"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7AD05C25" w:rsidR="00A761D4" w:rsidRDefault="00A761D4">
    <w:pPr>
      <w:pStyle w:val="Footer"/>
    </w:pPr>
    <w:r>
      <w:fldChar w:fldCharType="begin"/>
    </w:r>
    <w:r>
      <w:instrText>PAGE   \* MERGEFORMAT</w:instrText>
    </w:r>
    <w:r>
      <w:fldChar w:fldCharType="separate"/>
    </w:r>
    <w:r w:rsidR="007022FA" w:rsidRPr="007022FA">
      <w:rPr>
        <w:noProof/>
        <w:lang w:val="sq-AL"/>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6FEC5" w14:textId="77777777" w:rsidR="009B2162" w:rsidRDefault="009B2162" w:rsidP="00922FEB">
      <w:pPr>
        <w:spacing w:after="0" w:line="240" w:lineRule="auto"/>
      </w:pPr>
      <w:r>
        <w:separator/>
      </w:r>
    </w:p>
  </w:footnote>
  <w:footnote w:type="continuationSeparator" w:id="0">
    <w:p w14:paraId="234826BD" w14:textId="77777777" w:rsidR="009B2162" w:rsidRDefault="009B2162" w:rsidP="0092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C9E"/>
    <w:multiLevelType w:val="multilevel"/>
    <w:tmpl w:val="134E0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E53AE"/>
    <w:multiLevelType w:val="hybridMultilevel"/>
    <w:tmpl w:val="CDC8FE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D6851"/>
    <w:multiLevelType w:val="hybridMultilevel"/>
    <w:tmpl w:val="D0BE9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C47AD"/>
    <w:multiLevelType w:val="multilevel"/>
    <w:tmpl w:val="6A56F9D4"/>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1CC68FA"/>
    <w:multiLevelType w:val="hybridMultilevel"/>
    <w:tmpl w:val="2858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B6CAA"/>
    <w:multiLevelType w:val="multilevel"/>
    <w:tmpl w:val="27FA0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41AEB"/>
    <w:multiLevelType w:val="multilevel"/>
    <w:tmpl w:val="6A56F9D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A3605E"/>
    <w:multiLevelType w:val="hybridMultilevel"/>
    <w:tmpl w:val="6D42F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D3551"/>
    <w:multiLevelType w:val="multilevel"/>
    <w:tmpl w:val="5CE2B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B30A7D"/>
    <w:multiLevelType w:val="multilevel"/>
    <w:tmpl w:val="2EE692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5C3F15"/>
    <w:multiLevelType w:val="hybridMultilevel"/>
    <w:tmpl w:val="6AE69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C7A56"/>
    <w:multiLevelType w:val="hybridMultilevel"/>
    <w:tmpl w:val="D958BFF4"/>
    <w:lvl w:ilvl="0" w:tplc="70DC363A">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05D1266"/>
    <w:multiLevelType w:val="multilevel"/>
    <w:tmpl w:val="12A6D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640018"/>
    <w:multiLevelType w:val="hybridMultilevel"/>
    <w:tmpl w:val="98D484FE"/>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32872B6A"/>
    <w:multiLevelType w:val="hybridMultilevel"/>
    <w:tmpl w:val="F864C4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6080A"/>
    <w:multiLevelType w:val="multilevel"/>
    <w:tmpl w:val="3CAE58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390465E"/>
    <w:multiLevelType w:val="multilevel"/>
    <w:tmpl w:val="B04AB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D7585F"/>
    <w:multiLevelType w:val="multilevel"/>
    <w:tmpl w:val="E2DEE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A82DDF"/>
    <w:multiLevelType w:val="multilevel"/>
    <w:tmpl w:val="11C27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FE2822"/>
    <w:multiLevelType w:val="multilevel"/>
    <w:tmpl w:val="8F6EF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200874"/>
    <w:multiLevelType w:val="multilevel"/>
    <w:tmpl w:val="E20684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A073391"/>
    <w:multiLevelType w:val="multilevel"/>
    <w:tmpl w:val="EBA23E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ADD4944"/>
    <w:multiLevelType w:val="multilevel"/>
    <w:tmpl w:val="44CA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156A6A"/>
    <w:multiLevelType w:val="multilevel"/>
    <w:tmpl w:val="3FC02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6954E9B"/>
    <w:multiLevelType w:val="multilevel"/>
    <w:tmpl w:val="AE9E7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F632B0E"/>
    <w:multiLevelType w:val="hybridMultilevel"/>
    <w:tmpl w:val="E6C01AB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63241C3C"/>
    <w:multiLevelType w:val="multilevel"/>
    <w:tmpl w:val="D580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E80B8A"/>
    <w:multiLevelType w:val="multilevel"/>
    <w:tmpl w:val="B310F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182FFE"/>
    <w:multiLevelType w:val="multilevel"/>
    <w:tmpl w:val="B3FEB0A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4A848C7"/>
    <w:multiLevelType w:val="multilevel"/>
    <w:tmpl w:val="9556A3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A04D4F"/>
    <w:multiLevelType w:val="multilevel"/>
    <w:tmpl w:val="448E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6C3C4E"/>
    <w:multiLevelType w:val="multilevel"/>
    <w:tmpl w:val="59F8ED8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690A7DE3"/>
    <w:multiLevelType w:val="hybridMultilevel"/>
    <w:tmpl w:val="C51A249A"/>
    <w:lvl w:ilvl="0" w:tplc="9D8C93AC">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5566C7"/>
    <w:multiLevelType w:val="hybridMultilevel"/>
    <w:tmpl w:val="59A0D8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53238"/>
    <w:multiLevelType w:val="multilevel"/>
    <w:tmpl w:val="75C8E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9C2E4F"/>
    <w:multiLevelType w:val="hybridMultilevel"/>
    <w:tmpl w:val="73FE4EF4"/>
    <w:lvl w:ilvl="0" w:tplc="0409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742F0C56"/>
    <w:multiLevelType w:val="hybridMultilevel"/>
    <w:tmpl w:val="DD6047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106A4"/>
    <w:multiLevelType w:val="multilevel"/>
    <w:tmpl w:val="DE761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AF0D54"/>
    <w:multiLevelType w:val="multilevel"/>
    <w:tmpl w:val="DF0A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F14B0E"/>
    <w:multiLevelType w:val="hybridMultilevel"/>
    <w:tmpl w:val="210A091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771D6A2C"/>
    <w:multiLevelType w:val="multilevel"/>
    <w:tmpl w:val="CEA04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AA971BE"/>
    <w:multiLevelType w:val="hybridMultilevel"/>
    <w:tmpl w:val="91945532"/>
    <w:lvl w:ilvl="0" w:tplc="0409000D">
      <w:start w:val="1"/>
      <w:numFmt w:val="bullet"/>
      <w:lvlText w:val=""/>
      <w:lvlJc w:val="left"/>
      <w:pPr>
        <w:ind w:left="856" w:hanging="360"/>
      </w:pPr>
      <w:rPr>
        <w:rFonts w:ascii="Wingdings" w:hAnsi="Wingdings"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num w:numId="1" w16cid:durableId="1358967996">
    <w:abstractNumId w:val="33"/>
  </w:num>
  <w:num w:numId="2" w16cid:durableId="181868664">
    <w:abstractNumId w:val="2"/>
  </w:num>
  <w:num w:numId="3" w16cid:durableId="43529601">
    <w:abstractNumId w:val="32"/>
  </w:num>
  <w:num w:numId="4" w16cid:durableId="1787196619">
    <w:abstractNumId w:val="6"/>
  </w:num>
  <w:num w:numId="5" w16cid:durableId="470709780">
    <w:abstractNumId w:val="25"/>
  </w:num>
  <w:num w:numId="6" w16cid:durableId="1422216475">
    <w:abstractNumId w:val="15"/>
  </w:num>
  <w:num w:numId="7" w16cid:durableId="1214973068">
    <w:abstractNumId w:val="22"/>
  </w:num>
  <w:num w:numId="8" w16cid:durableId="449708223">
    <w:abstractNumId w:val="37"/>
  </w:num>
  <w:num w:numId="9" w16cid:durableId="745343302">
    <w:abstractNumId w:val="13"/>
  </w:num>
  <w:num w:numId="10" w16cid:durableId="1593128910">
    <w:abstractNumId w:val="34"/>
  </w:num>
  <w:num w:numId="11" w16cid:durableId="296838590">
    <w:abstractNumId w:val="31"/>
  </w:num>
  <w:num w:numId="12" w16cid:durableId="1238325669">
    <w:abstractNumId w:val="3"/>
  </w:num>
  <w:num w:numId="13" w16cid:durableId="1377201200">
    <w:abstractNumId w:val="30"/>
  </w:num>
  <w:num w:numId="14" w16cid:durableId="710233156">
    <w:abstractNumId w:val="23"/>
  </w:num>
  <w:num w:numId="15" w16cid:durableId="299531765">
    <w:abstractNumId w:val="40"/>
  </w:num>
  <w:num w:numId="16" w16cid:durableId="1004237091">
    <w:abstractNumId w:val="4"/>
  </w:num>
  <w:num w:numId="17" w16cid:durableId="590502722">
    <w:abstractNumId w:val="24"/>
  </w:num>
  <w:num w:numId="18" w16cid:durableId="357423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5131860">
    <w:abstractNumId w:val="35"/>
  </w:num>
  <w:num w:numId="20" w16cid:durableId="434563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085774">
    <w:abstractNumId w:val="38"/>
  </w:num>
  <w:num w:numId="22" w16cid:durableId="521936107">
    <w:abstractNumId w:val="1"/>
  </w:num>
  <w:num w:numId="23" w16cid:durableId="3692581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574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94024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9904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146095">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33008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6618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4964674">
    <w:abstractNumId w:val="11"/>
  </w:num>
  <w:num w:numId="31" w16cid:durableId="284122174">
    <w:abstractNumId w:val="17"/>
  </w:num>
  <w:num w:numId="32" w16cid:durableId="913272142">
    <w:abstractNumId w:val="18"/>
  </w:num>
  <w:num w:numId="33" w16cid:durableId="669212938">
    <w:abstractNumId w:val="12"/>
  </w:num>
  <w:num w:numId="34" w16cid:durableId="1600287257">
    <w:abstractNumId w:val="5"/>
  </w:num>
  <w:num w:numId="35" w16cid:durableId="1091395025">
    <w:abstractNumId w:val="19"/>
  </w:num>
  <w:num w:numId="36" w16cid:durableId="268781288">
    <w:abstractNumId w:val="0"/>
  </w:num>
  <w:num w:numId="37" w16cid:durableId="382604560">
    <w:abstractNumId w:val="29"/>
  </w:num>
  <w:num w:numId="38" w16cid:durableId="887570500">
    <w:abstractNumId w:val="21"/>
  </w:num>
  <w:num w:numId="39" w16cid:durableId="101194962">
    <w:abstractNumId w:val="28"/>
  </w:num>
  <w:num w:numId="40" w16cid:durableId="1415392301">
    <w:abstractNumId w:val="27"/>
  </w:num>
  <w:num w:numId="41" w16cid:durableId="239684105">
    <w:abstractNumId w:val="16"/>
  </w:num>
  <w:num w:numId="42" w16cid:durableId="1584561520">
    <w:abstractNumId w:val="14"/>
  </w:num>
  <w:num w:numId="43" w16cid:durableId="956327357">
    <w:abstractNumId w:val="10"/>
  </w:num>
  <w:num w:numId="44" w16cid:durableId="1733771951">
    <w:abstractNumId w:val="7"/>
  </w:num>
  <w:num w:numId="45" w16cid:durableId="844898456">
    <w:abstractNumId w:val="8"/>
  </w:num>
  <w:num w:numId="46" w16cid:durableId="813916373">
    <w:abstractNumId w:val="9"/>
  </w:num>
  <w:num w:numId="47" w16cid:durableId="296571979">
    <w:abstractNumId w:val="26"/>
  </w:num>
  <w:num w:numId="48" w16cid:durableId="625939491">
    <w:abstractNumId w:val="36"/>
  </w:num>
  <w:num w:numId="49" w16cid:durableId="2039159535">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FB"/>
    <w:rsid w:val="000144FB"/>
    <w:rsid w:val="00015086"/>
    <w:rsid w:val="00016C4D"/>
    <w:rsid w:val="00017CC1"/>
    <w:rsid w:val="00020AE3"/>
    <w:rsid w:val="000339C8"/>
    <w:rsid w:val="00034129"/>
    <w:rsid w:val="00035075"/>
    <w:rsid w:val="00036F88"/>
    <w:rsid w:val="00052607"/>
    <w:rsid w:val="00052664"/>
    <w:rsid w:val="00053923"/>
    <w:rsid w:val="00062524"/>
    <w:rsid w:val="00065705"/>
    <w:rsid w:val="00075318"/>
    <w:rsid w:val="00076B31"/>
    <w:rsid w:val="00081BC1"/>
    <w:rsid w:val="00082EBC"/>
    <w:rsid w:val="00092CAE"/>
    <w:rsid w:val="00093110"/>
    <w:rsid w:val="00095ECC"/>
    <w:rsid w:val="0009621F"/>
    <w:rsid w:val="000A26EF"/>
    <w:rsid w:val="000A38FB"/>
    <w:rsid w:val="000A7EA3"/>
    <w:rsid w:val="000B014A"/>
    <w:rsid w:val="000B05B4"/>
    <w:rsid w:val="000B1124"/>
    <w:rsid w:val="000B162F"/>
    <w:rsid w:val="000B19FC"/>
    <w:rsid w:val="000B1B38"/>
    <w:rsid w:val="000B3E31"/>
    <w:rsid w:val="000B4CF9"/>
    <w:rsid w:val="000C09CF"/>
    <w:rsid w:val="000C227B"/>
    <w:rsid w:val="000C4C00"/>
    <w:rsid w:val="000D0E76"/>
    <w:rsid w:val="000D1CFF"/>
    <w:rsid w:val="000D3B1C"/>
    <w:rsid w:val="000D4CD0"/>
    <w:rsid w:val="000D6E38"/>
    <w:rsid w:val="000D77FB"/>
    <w:rsid w:val="000D7CA4"/>
    <w:rsid w:val="000D7DCD"/>
    <w:rsid w:val="000E0147"/>
    <w:rsid w:val="000E1010"/>
    <w:rsid w:val="000E2BC3"/>
    <w:rsid w:val="000E4DE0"/>
    <w:rsid w:val="000E5AC4"/>
    <w:rsid w:val="000E668E"/>
    <w:rsid w:val="000E737E"/>
    <w:rsid w:val="000F50A7"/>
    <w:rsid w:val="001024E6"/>
    <w:rsid w:val="00106912"/>
    <w:rsid w:val="0010735E"/>
    <w:rsid w:val="001123ED"/>
    <w:rsid w:val="00113E0D"/>
    <w:rsid w:val="001207DE"/>
    <w:rsid w:val="00121010"/>
    <w:rsid w:val="00125EE3"/>
    <w:rsid w:val="00142D73"/>
    <w:rsid w:val="00147181"/>
    <w:rsid w:val="00147A54"/>
    <w:rsid w:val="00147BF2"/>
    <w:rsid w:val="001520C0"/>
    <w:rsid w:val="0015399E"/>
    <w:rsid w:val="00153CCC"/>
    <w:rsid w:val="00154981"/>
    <w:rsid w:val="001552C4"/>
    <w:rsid w:val="0015599D"/>
    <w:rsid w:val="00160121"/>
    <w:rsid w:val="001619E7"/>
    <w:rsid w:val="00164173"/>
    <w:rsid w:val="00167C2C"/>
    <w:rsid w:val="00170836"/>
    <w:rsid w:val="00171AE3"/>
    <w:rsid w:val="001775D3"/>
    <w:rsid w:val="00184491"/>
    <w:rsid w:val="00185FF3"/>
    <w:rsid w:val="00190654"/>
    <w:rsid w:val="0019465F"/>
    <w:rsid w:val="001A054E"/>
    <w:rsid w:val="001A1CC0"/>
    <w:rsid w:val="001A223E"/>
    <w:rsid w:val="001A240D"/>
    <w:rsid w:val="001B46A8"/>
    <w:rsid w:val="001B4AFB"/>
    <w:rsid w:val="001B4F3F"/>
    <w:rsid w:val="001B5B3A"/>
    <w:rsid w:val="001C2405"/>
    <w:rsid w:val="001D180F"/>
    <w:rsid w:val="001D413A"/>
    <w:rsid w:val="001D652C"/>
    <w:rsid w:val="001D75F8"/>
    <w:rsid w:val="001E074F"/>
    <w:rsid w:val="001E2141"/>
    <w:rsid w:val="001E566F"/>
    <w:rsid w:val="001E71E0"/>
    <w:rsid w:val="001F0349"/>
    <w:rsid w:val="001F2CB3"/>
    <w:rsid w:val="001F3413"/>
    <w:rsid w:val="001F3E2D"/>
    <w:rsid w:val="001F6E50"/>
    <w:rsid w:val="001F7BBC"/>
    <w:rsid w:val="00200996"/>
    <w:rsid w:val="00200AA9"/>
    <w:rsid w:val="00201DBB"/>
    <w:rsid w:val="00206694"/>
    <w:rsid w:val="00207E2E"/>
    <w:rsid w:val="00212234"/>
    <w:rsid w:val="00216CB5"/>
    <w:rsid w:val="00217FFD"/>
    <w:rsid w:val="00226B07"/>
    <w:rsid w:val="00237085"/>
    <w:rsid w:val="00237F57"/>
    <w:rsid w:val="00241058"/>
    <w:rsid w:val="00241DAE"/>
    <w:rsid w:val="00242D3A"/>
    <w:rsid w:val="00243A1A"/>
    <w:rsid w:val="0024728F"/>
    <w:rsid w:val="00247573"/>
    <w:rsid w:val="00250974"/>
    <w:rsid w:val="00250B34"/>
    <w:rsid w:val="00260632"/>
    <w:rsid w:val="00261EE3"/>
    <w:rsid w:val="00262E99"/>
    <w:rsid w:val="002652D5"/>
    <w:rsid w:val="00265C53"/>
    <w:rsid w:val="002675D8"/>
    <w:rsid w:val="00271F5B"/>
    <w:rsid w:val="00273323"/>
    <w:rsid w:val="00282FA2"/>
    <w:rsid w:val="00285242"/>
    <w:rsid w:val="00287B86"/>
    <w:rsid w:val="002973DE"/>
    <w:rsid w:val="002A2DF8"/>
    <w:rsid w:val="002A59EF"/>
    <w:rsid w:val="002B02E4"/>
    <w:rsid w:val="002B3D21"/>
    <w:rsid w:val="002B44A1"/>
    <w:rsid w:val="002B731D"/>
    <w:rsid w:val="002C08D0"/>
    <w:rsid w:val="002C1FF8"/>
    <w:rsid w:val="002C6E4F"/>
    <w:rsid w:val="002C733F"/>
    <w:rsid w:val="002D0742"/>
    <w:rsid w:val="002D2221"/>
    <w:rsid w:val="002D529D"/>
    <w:rsid w:val="002D574D"/>
    <w:rsid w:val="002D7B34"/>
    <w:rsid w:val="002E13E3"/>
    <w:rsid w:val="002E6526"/>
    <w:rsid w:val="002F2826"/>
    <w:rsid w:val="002F76DE"/>
    <w:rsid w:val="00301958"/>
    <w:rsid w:val="0030526E"/>
    <w:rsid w:val="00306D32"/>
    <w:rsid w:val="00310B3D"/>
    <w:rsid w:val="0031114B"/>
    <w:rsid w:val="003116B5"/>
    <w:rsid w:val="0031566F"/>
    <w:rsid w:val="00317005"/>
    <w:rsid w:val="00322C4F"/>
    <w:rsid w:val="003275AB"/>
    <w:rsid w:val="00332366"/>
    <w:rsid w:val="00332AE4"/>
    <w:rsid w:val="003344C0"/>
    <w:rsid w:val="00335C48"/>
    <w:rsid w:val="00344587"/>
    <w:rsid w:val="00345085"/>
    <w:rsid w:val="0035145A"/>
    <w:rsid w:val="003518E4"/>
    <w:rsid w:val="003541B4"/>
    <w:rsid w:val="00357D61"/>
    <w:rsid w:val="00364559"/>
    <w:rsid w:val="0037327C"/>
    <w:rsid w:val="00374572"/>
    <w:rsid w:val="00381019"/>
    <w:rsid w:val="00391383"/>
    <w:rsid w:val="003927C4"/>
    <w:rsid w:val="00395E2E"/>
    <w:rsid w:val="003A75B8"/>
    <w:rsid w:val="003B191B"/>
    <w:rsid w:val="003B7C4A"/>
    <w:rsid w:val="003C045B"/>
    <w:rsid w:val="003C1E87"/>
    <w:rsid w:val="003C2EAB"/>
    <w:rsid w:val="003C4AC6"/>
    <w:rsid w:val="003C63BE"/>
    <w:rsid w:val="003C79E1"/>
    <w:rsid w:val="003D4694"/>
    <w:rsid w:val="003E0260"/>
    <w:rsid w:val="003E2711"/>
    <w:rsid w:val="003F12A2"/>
    <w:rsid w:val="003F6C69"/>
    <w:rsid w:val="004003B3"/>
    <w:rsid w:val="00400C6E"/>
    <w:rsid w:val="004020E6"/>
    <w:rsid w:val="0040246D"/>
    <w:rsid w:val="004024D0"/>
    <w:rsid w:val="00405A74"/>
    <w:rsid w:val="00410A88"/>
    <w:rsid w:val="00415BDC"/>
    <w:rsid w:val="004164B2"/>
    <w:rsid w:val="00416E2E"/>
    <w:rsid w:val="00417273"/>
    <w:rsid w:val="004224EA"/>
    <w:rsid w:val="0042577F"/>
    <w:rsid w:val="00427624"/>
    <w:rsid w:val="00427E4C"/>
    <w:rsid w:val="00427EE2"/>
    <w:rsid w:val="0043228D"/>
    <w:rsid w:val="00433DB0"/>
    <w:rsid w:val="004457A1"/>
    <w:rsid w:val="00450C23"/>
    <w:rsid w:val="00451218"/>
    <w:rsid w:val="00451313"/>
    <w:rsid w:val="004570E7"/>
    <w:rsid w:val="00463860"/>
    <w:rsid w:val="00463D26"/>
    <w:rsid w:val="0047211B"/>
    <w:rsid w:val="00472C5C"/>
    <w:rsid w:val="004738EE"/>
    <w:rsid w:val="004745E6"/>
    <w:rsid w:val="00476A5C"/>
    <w:rsid w:val="004812F5"/>
    <w:rsid w:val="004816E5"/>
    <w:rsid w:val="004833A3"/>
    <w:rsid w:val="00497724"/>
    <w:rsid w:val="004A1713"/>
    <w:rsid w:val="004A36CD"/>
    <w:rsid w:val="004A4B29"/>
    <w:rsid w:val="004B7E97"/>
    <w:rsid w:val="004B7F04"/>
    <w:rsid w:val="004C2EE7"/>
    <w:rsid w:val="004D0576"/>
    <w:rsid w:val="004D36D7"/>
    <w:rsid w:val="004D3792"/>
    <w:rsid w:val="004D4A5A"/>
    <w:rsid w:val="004E2956"/>
    <w:rsid w:val="004E30E5"/>
    <w:rsid w:val="004E4138"/>
    <w:rsid w:val="004F0084"/>
    <w:rsid w:val="004F0109"/>
    <w:rsid w:val="004F2266"/>
    <w:rsid w:val="004F27D1"/>
    <w:rsid w:val="004F5B78"/>
    <w:rsid w:val="004F619A"/>
    <w:rsid w:val="004F7895"/>
    <w:rsid w:val="005002A2"/>
    <w:rsid w:val="005007CA"/>
    <w:rsid w:val="0050266C"/>
    <w:rsid w:val="00502F25"/>
    <w:rsid w:val="0050578D"/>
    <w:rsid w:val="00510FD6"/>
    <w:rsid w:val="00517905"/>
    <w:rsid w:val="005222ED"/>
    <w:rsid w:val="005227EA"/>
    <w:rsid w:val="00523BD5"/>
    <w:rsid w:val="00532F36"/>
    <w:rsid w:val="0053367B"/>
    <w:rsid w:val="00536BD1"/>
    <w:rsid w:val="00542046"/>
    <w:rsid w:val="00542B90"/>
    <w:rsid w:val="00544726"/>
    <w:rsid w:val="00545293"/>
    <w:rsid w:val="00555B0E"/>
    <w:rsid w:val="00561970"/>
    <w:rsid w:val="00562EF5"/>
    <w:rsid w:val="0056390B"/>
    <w:rsid w:val="005721F0"/>
    <w:rsid w:val="005739CF"/>
    <w:rsid w:val="005740C8"/>
    <w:rsid w:val="005772F5"/>
    <w:rsid w:val="0058092D"/>
    <w:rsid w:val="00581189"/>
    <w:rsid w:val="0059538D"/>
    <w:rsid w:val="005A3A0B"/>
    <w:rsid w:val="005C2C12"/>
    <w:rsid w:val="005C5778"/>
    <w:rsid w:val="005D2CA7"/>
    <w:rsid w:val="005D51C1"/>
    <w:rsid w:val="005D6115"/>
    <w:rsid w:val="005D7747"/>
    <w:rsid w:val="005E10BC"/>
    <w:rsid w:val="005E5DCC"/>
    <w:rsid w:val="005E65A8"/>
    <w:rsid w:val="005E6AA8"/>
    <w:rsid w:val="005F1B9C"/>
    <w:rsid w:val="005F434C"/>
    <w:rsid w:val="005F57EB"/>
    <w:rsid w:val="00614830"/>
    <w:rsid w:val="0061684B"/>
    <w:rsid w:val="00617362"/>
    <w:rsid w:val="00623590"/>
    <w:rsid w:val="00627580"/>
    <w:rsid w:val="0063030D"/>
    <w:rsid w:val="006310DD"/>
    <w:rsid w:val="00632923"/>
    <w:rsid w:val="00635147"/>
    <w:rsid w:val="0064231D"/>
    <w:rsid w:val="006444CD"/>
    <w:rsid w:val="00651851"/>
    <w:rsid w:val="00652429"/>
    <w:rsid w:val="00657867"/>
    <w:rsid w:val="0066027E"/>
    <w:rsid w:val="006618BF"/>
    <w:rsid w:val="00666B47"/>
    <w:rsid w:val="0067247A"/>
    <w:rsid w:val="006726C3"/>
    <w:rsid w:val="00672C4E"/>
    <w:rsid w:val="00676111"/>
    <w:rsid w:val="0067730A"/>
    <w:rsid w:val="006774B8"/>
    <w:rsid w:val="006800FD"/>
    <w:rsid w:val="00695317"/>
    <w:rsid w:val="006953D8"/>
    <w:rsid w:val="006A0740"/>
    <w:rsid w:val="006A09C7"/>
    <w:rsid w:val="006A2D4D"/>
    <w:rsid w:val="006B0D0A"/>
    <w:rsid w:val="006B323C"/>
    <w:rsid w:val="006B7ABD"/>
    <w:rsid w:val="006C1477"/>
    <w:rsid w:val="006C1526"/>
    <w:rsid w:val="006C1BCA"/>
    <w:rsid w:val="006C4222"/>
    <w:rsid w:val="006C7B60"/>
    <w:rsid w:val="006D6109"/>
    <w:rsid w:val="006D648E"/>
    <w:rsid w:val="006E7359"/>
    <w:rsid w:val="006E7F7A"/>
    <w:rsid w:val="006E7FA1"/>
    <w:rsid w:val="006F2527"/>
    <w:rsid w:val="006F2F12"/>
    <w:rsid w:val="007006CF"/>
    <w:rsid w:val="00700F75"/>
    <w:rsid w:val="007022FA"/>
    <w:rsid w:val="007045CF"/>
    <w:rsid w:val="00705280"/>
    <w:rsid w:val="00706107"/>
    <w:rsid w:val="0071079D"/>
    <w:rsid w:val="00710999"/>
    <w:rsid w:val="00714B51"/>
    <w:rsid w:val="007155A5"/>
    <w:rsid w:val="00717DF3"/>
    <w:rsid w:val="00720B64"/>
    <w:rsid w:val="0072295D"/>
    <w:rsid w:val="00723BB2"/>
    <w:rsid w:val="00724305"/>
    <w:rsid w:val="007251FA"/>
    <w:rsid w:val="007277B4"/>
    <w:rsid w:val="00732339"/>
    <w:rsid w:val="00737236"/>
    <w:rsid w:val="00745147"/>
    <w:rsid w:val="007462E6"/>
    <w:rsid w:val="00746656"/>
    <w:rsid w:val="00746F5E"/>
    <w:rsid w:val="007556BD"/>
    <w:rsid w:val="00757BFC"/>
    <w:rsid w:val="00760A37"/>
    <w:rsid w:val="0076650E"/>
    <w:rsid w:val="00766567"/>
    <w:rsid w:val="00766639"/>
    <w:rsid w:val="007668CC"/>
    <w:rsid w:val="007731D9"/>
    <w:rsid w:val="007743FD"/>
    <w:rsid w:val="00775A2D"/>
    <w:rsid w:val="0077636B"/>
    <w:rsid w:val="00794E58"/>
    <w:rsid w:val="00797182"/>
    <w:rsid w:val="007A1544"/>
    <w:rsid w:val="007A1CE1"/>
    <w:rsid w:val="007A24BB"/>
    <w:rsid w:val="007A3FF9"/>
    <w:rsid w:val="007A64BB"/>
    <w:rsid w:val="007B00C7"/>
    <w:rsid w:val="007C025E"/>
    <w:rsid w:val="007C1261"/>
    <w:rsid w:val="007C217F"/>
    <w:rsid w:val="007C23D6"/>
    <w:rsid w:val="007C3F0C"/>
    <w:rsid w:val="007C509C"/>
    <w:rsid w:val="007C5223"/>
    <w:rsid w:val="007D6215"/>
    <w:rsid w:val="007D6CB1"/>
    <w:rsid w:val="007E346B"/>
    <w:rsid w:val="007E431F"/>
    <w:rsid w:val="007E488D"/>
    <w:rsid w:val="007F0768"/>
    <w:rsid w:val="007F323E"/>
    <w:rsid w:val="007F5C99"/>
    <w:rsid w:val="007F5D33"/>
    <w:rsid w:val="008018C3"/>
    <w:rsid w:val="008035FB"/>
    <w:rsid w:val="00804539"/>
    <w:rsid w:val="0080541B"/>
    <w:rsid w:val="00816168"/>
    <w:rsid w:val="00830C09"/>
    <w:rsid w:val="00835CD6"/>
    <w:rsid w:val="008363D3"/>
    <w:rsid w:val="00840BC8"/>
    <w:rsid w:val="0084519E"/>
    <w:rsid w:val="008456D9"/>
    <w:rsid w:val="0085013E"/>
    <w:rsid w:val="00854007"/>
    <w:rsid w:val="0085501A"/>
    <w:rsid w:val="00857138"/>
    <w:rsid w:val="0086030F"/>
    <w:rsid w:val="00861003"/>
    <w:rsid w:val="008656B2"/>
    <w:rsid w:val="00865C4F"/>
    <w:rsid w:val="008723DD"/>
    <w:rsid w:val="00873B84"/>
    <w:rsid w:val="00874BD7"/>
    <w:rsid w:val="00880C14"/>
    <w:rsid w:val="008829C8"/>
    <w:rsid w:val="00883E0C"/>
    <w:rsid w:val="00886049"/>
    <w:rsid w:val="00886459"/>
    <w:rsid w:val="0088678D"/>
    <w:rsid w:val="008876A4"/>
    <w:rsid w:val="0089224E"/>
    <w:rsid w:val="00893FC5"/>
    <w:rsid w:val="008A3696"/>
    <w:rsid w:val="008A5926"/>
    <w:rsid w:val="008A607A"/>
    <w:rsid w:val="008B055C"/>
    <w:rsid w:val="008B39B5"/>
    <w:rsid w:val="008B6E7F"/>
    <w:rsid w:val="008C06D1"/>
    <w:rsid w:val="008C4514"/>
    <w:rsid w:val="008C6992"/>
    <w:rsid w:val="008C7CE9"/>
    <w:rsid w:val="008D5CE4"/>
    <w:rsid w:val="008D5DD4"/>
    <w:rsid w:val="008E267F"/>
    <w:rsid w:val="008E382D"/>
    <w:rsid w:val="008E5E6C"/>
    <w:rsid w:val="008F7A0F"/>
    <w:rsid w:val="00900733"/>
    <w:rsid w:val="0090345E"/>
    <w:rsid w:val="00903483"/>
    <w:rsid w:val="009116FC"/>
    <w:rsid w:val="00914927"/>
    <w:rsid w:val="00916618"/>
    <w:rsid w:val="00922FEB"/>
    <w:rsid w:val="0093106A"/>
    <w:rsid w:val="00931B73"/>
    <w:rsid w:val="00937073"/>
    <w:rsid w:val="0093777F"/>
    <w:rsid w:val="0094134A"/>
    <w:rsid w:val="00943DF9"/>
    <w:rsid w:val="0094413A"/>
    <w:rsid w:val="00946891"/>
    <w:rsid w:val="00950BE7"/>
    <w:rsid w:val="0095143E"/>
    <w:rsid w:val="00952ABD"/>
    <w:rsid w:val="00954EFF"/>
    <w:rsid w:val="00956D2D"/>
    <w:rsid w:val="00961CE2"/>
    <w:rsid w:val="009669F8"/>
    <w:rsid w:val="00973DF3"/>
    <w:rsid w:val="009740A1"/>
    <w:rsid w:val="009770D2"/>
    <w:rsid w:val="00977865"/>
    <w:rsid w:val="00983669"/>
    <w:rsid w:val="009837C8"/>
    <w:rsid w:val="00984729"/>
    <w:rsid w:val="0098588B"/>
    <w:rsid w:val="00990A3C"/>
    <w:rsid w:val="009930BD"/>
    <w:rsid w:val="0099499F"/>
    <w:rsid w:val="00996667"/>
    <w:rsid w:val="009A05BF"/>
    <w:rsid w:val="009A0775"/>
    <w:rsid w:val="009A20F7"/>
    <w:rsid w:val="009A386A"/>
    <w:rsid w:val="009B2162"/>
    <w:rsid w:val="009B2315"/>
    <w:rsid w:val="009C1F2B"/>
    <w:rsid w:val="009C21F1"/>
    <w:rsid w:val="009C4544"/>
    <w:rsid w:val="009C4AB8"/>
    <w:rsid w:val="009C6155"/>
    <w:rsid w:val="009C71E4"/>
    <w:rsid w:val="009D0B38"/>
    <w:rsid w:val="009D14DE"/>
    <w:rsid w:val="009D229A"/>
    <w:rsid w:val="009D26C0"/>
    <w:rsid w:val="009D4DDC"/>
    <w:rsid w:val="009D64A3"/>
    <w:rsid w:val="009D685C"/>
    <w:rsid w:val="009E08DD"/>
    <w:rsid w:val="009E1546"/>
    <w:rsid w:val="009E29DA"/>
    <w:rsid w:val="009E4A2F"/>
    <w:rsid w:val="009E6BD3"/>
    <w:rsid w:val="009F0018"/>
    <w:rsid w:val="009F018B"/>
    <w:rsid w:val="009F0E45"/>
    <w:rsid w:val="009F4771"/>
    <w:rsid w:val="00A106AB"/>
    <w:rsid w:val="00A10ABB"/>
    <w:rsid w:val="00A11922"/>
    <w:rsid w:val="00A12F75"/>
    <w:rsid w:val="00A22CD6"/>
    <w:rsid w:val="00A231BF"/>
    <w:rsid w:val="00A23CE3"/>
    <w:rsid w:val="00A25D4A"/>
    <w:rsid w:val="00A26FC2"/>
    <w:rsid w:val="00A34557"/>
    <w:rsid w:val="00A345DE"/>
    <w:rsid w:val="00A43694"/>
    <w:rsid w:val="00A43EA9"/>
    <w:rsid w:val="00A51E4E"/>
    <w:rsid w:val="00A57D3C"/>
    <w:rsid w:val="00A61AEB"/>
    <w:rsid w:val="00A625F8"/>
    <w:rsid w:val="00A64D34"/>
    <w:rsid w:val="00A70E48"/>
    <w:rsid w:val="00A761D4"/>
    <w:rsid w:val="00A7637A"/>
    <w:rsid w:val="00A7784E"/>
    <w:rsid w:val="00A8172F"/>
    <w:rsid w:val="00A832A6"/>
    <w:rsid w:val="00A835CB"/>
    <w:rsid w:val="00A8449D"/>
    <w:rsid w:val="00A846ED"/>
    <w:rsid w:val="00A851A8"/>
    <w:rsid w:val="00A92B22"/>
    <w:rsid w:val="00A93747"/>
    <w:rsid w:val="00A96A0F"/>
    <w:rsid w:val="00A96B7A"/>
    <w:rsid w:val="00A96FAA"/>
    <w:rsid w:val="00A97EC9"/>
    <w:rsid w:val="00AA1B31"/>
    <w:rsid w:val="00AA2A3A"/>
    <w:rsid w:val="00AA68CF"/>
    <w:rsid w:val="00AA7B86"/>
    <w:rsid w:val="00AB0BE6"/>
    <w:rsid w:val="00AB296B"/>
    <w:rsid w:val="00AB4788"/>
    <w:rsid w:val="00AC14A5"/>
    <w:rsid w:val="00AC21F0"/>
    <w:rsid w:val="00AC3A97"/>
    <w:rsid w:val="00AC3DAE"/>
    <w:rsid w:val="00AC4CF3"/>
    <w:rsid w:val="00AC59BE"/>
    <w:rsid w:val="00AD0ED0"/>
    <w:rsid w:val="00AD0F34"/>
    <w:rsid w:val="00AD58C7"/>
    <w:rsid w:val="00AD5C20"/>
    <w:rsid w:val="00AD6055"/>
    <w:rsid w:val="00AD7342"/>
    <w:rsid w:val="00AD7C53"/>
    <w:rsid w:val="00AE3E8F"/>
    <w:rsid w:val="00AE5216"/>
    <w:rsid w:val="00AF0520"/>
    <w:rsid w:val="00AF1AA4"/>
    <w:rsid w:val="00AF1DCF"/>
    <w:rsid w:val="00AF2598"/>
    <w:rsid w:val="00AF3271"/>
    <w:rsid w:val="00AF477D"/>
    <w:rsid w:val="00AF7139"/>
    <w:rsid w:val="00B03A2F"/>
    <w:rsid w:val="00B058FC"/>
    <w:rsid w:val="00B114DB"/>
    <w:rsid w:val="00B15547"/>
    <w:rsid w:val="00B15EDC"/>
    <w:rsid w:val="00B1652A"/>
    <w:rsid w:val="00B16F37"/>
    <w:rsid w:val="00B17414"/>
    <w:rsid w:val="00B21860"/>
    <w:rsid w:val="00B25191"/>
    <w:rsid w:val="00B255FB"/>
    <w:rsid w:val="00B259CE"/>
    <w:rsid w:val="00B306D3"/>
    <w:rsid w:val="00B353DE"/>
    <w:rsid w:val="00B37AA1"/>
    <w:rsid w:val="00B402DD"/>
    <w:rsid w:val="00B503DF"/>
    <w:rsid w:val="00B5370F"/>
    <w:rsid w:val="00B63161"/>
    <w:rsid w:val="00B63E5A"/>
    <w:rsid w:val="00B6607B"/>
    <w:rsid w:val="00B6709E"/>
    <w:rsid w:val="00B70DBE"/>
    <w:rsid w:val="00B72C75"/>
    <w:rsid w:val="00B76DBB"/>
    <w:rsid w:val="00B909DA"/>
    <w:rsid w:val="00B96DD0"/>
    <w:rsid w:val="00BA5747"/>
    <w:rsid w:val="00BA7CDB"/>
    <w:rsid w:val="00BB2ED5"/>
    <w:rsid w:val="00BC3517"/>
    <w:rsid w:val="00BD1B8F"/>
    <w:rsid w:val="00BD3625"/>
    <w:rsid w:val="00BD7236"/>
    <w:rsid w:val="00BE2ADC"/>
    <w:rsid w:val="00BE44C9"/>
    <w:rsid w:val="00BE4C18"/>
    <w:rsid w:val="00BE7055"/>
    <w:rsid w:val="00BF173E"/>
    <w:rsid w:val="00BF18F7"/>
    <w:rsid w:val="00BF1CFB"/>
    <w:rsid w:val="00BF44E2"/>
    <w:rsid w:val="00BF5500"/>
    <w:rsid w:val="00BF76F8"/>
    <w:rsid w:val="00C0015B"/>
    <w:rsid w:val="00C04EE6"/>
    <w:rsid w:val="00C04FDF"/>
    <w:rsid w:val="00C0516B"/>
    <w:rsid w:val="00C11ACA"/>
    <w:rsid w:val="00C155F2"/>
    <w:rsid w:val="00C23FE6"/>
    <w:rsid w:val="00C32352"/>
    <w:rsid w:val="00C327BA"/>
    <w:rsid w:val="00C34A80"/>
    <w:rsid w:val="00C355B7"/>
    <w:rsid w:val="00C378C4"/>
    <w:rsid w:val="00C45CE8"/>
    <w:rsid w:val="00C46499"/>
    <w:rsid w:val="00C52639"/>
    <w:rsid w:val="00C52BF2"/>
    <w:rsid w:val="00C54DF6"/>
    <w:rsid w:val="00C60A86"/>
    <w:rsid w:val="00C63F93"/>
    <w:rsid w:val="00C64C7A"/>
    <w:rsid w:val="00C66519"/>
    <w:rsid w:val="00C714C9"/>
    <w:rsid w:val="00C72765"/>
    <w:rsid w:val="00C77055"/>
    <w:rsid w:val="00C807B0"/>
    <w:rsid w:val="00C815F0"/>
    <w:rsid w:val="00C82DD3"/>
    <w:rsid w:val="00C85409"/>
    <w:rsid w:val="00C86A4A"/>
    <w:rsid w:val="00C913FB"/>
    <w:rsid w:val="00C93E05"/>
    <w:rsid w:val="00C9465F"/>
    <w:rsid w:val="00C947F4"/>
    <w:rsid w:val="00CA00ED"/>
    <w:rsid w:val="00CA04A6"/>
    <w:rsid w:val="00CA069C"/>
    <w:rsid w:val="00CA1C4C"/>
    <w:rsid w:val="00CA76DC"/>
    <w:rsid w:val="00CB0400"/>
    <w:rsid w:val="00CB0A79"/>
    <w:rsid w:val="00CB119E"/>
    <w:rsid w:val="00CB4834"/>
    <w:rsid w:val="00CB6827"/>
    <w:rsid w:val="00CB7E55"/>
    <w:rsid w:val="00CC0BDE"/>
    <w:rsid w:val="00CC146E"/>
    <w:rsid w:val="00CC583E"/>
    <w:rsid w:val="00CC70E1"/>
    <w:rsid w:val="00CD074A"/>
    <w:rsid w:val="00CD0902"/>
    <w:rsid w:val="00CD260C"/>
    <w:rsid w:val="00CD3FEC"/>
    <w:rsid w:val="00CD42B9"/>
    <w:rsid w:val="00CD6E0B"/>
    <w:rsid w:val="00CE37E5"/>
    <w:rsid w:val="00CE58C1"/>
    <w:rsid w:val="00CE707E"/>
    <w:rsid w:val="00D00AE0"/>
    <w:rsid w:val="00D0274A"/>
    <w:rsid w:val="00D1104B"/>
    <w:rsid w:val="00D15D65"/>
    <w:rsid w:val="00D174D0"/>
    <w:rsid w:val="00D17890"/>
    <w:rsid w:val="00D24852"/>
    <w:rsid w:val="00D2602E"/>
    <w:rsid w:val="00D27C06"/>
    <w:rsid w:val="00D35B3D"/>
    <w:rsid w:val="00D41BE4"/>
    <w:rsid w:val="00D429B0"/>
    <w:rsid w:val="00D43E43"/>
    <w:rsid w:val="00D44638"/>
    <w:rsid w:val="00D47DA4"/>
    <w:rsid w:val="00D47FB4"/>
    <w:rsid w:val="00D50C6D"/>
    <w:rsid w:val="00D5103B"/>
    <w:rsid w:val="00D531BA"/>
    <w:rsid w:val="00D5354C"/>
    <w:rsid w:val="00D567C3"/>
    <w:rsid w:val="00D61709"/>
    <w:rsid w:val="00D622C1"/>
    <w:rsid w:val="00D62947"/>
    <w:rsid w:val="00D63898"/>
    <w:rsid w:val="00D64B2B"/>
    <w:rsid w:val="00D6605E"/>
    <w:rsid w:val="00D76C5B"/>
    <w:rsid w:val="00D779F7"/>
    <w:rsid w:val="00D82EC3"/>
    <w:rsid w:val="00D838DF"/>
    <w:rsid w:val="00D83F54"/>
    <w:rsid w:val="00D87421"/>
    <w:rsid w:val="00D94863"/>
    <w:rsid w:val="00DA047A"/>
    <w:rsid w:val="00DA1204"/>
    <w:rsid w:val="00DA2762"/>
    <w:rsid w:val="00DA36BF"/>
    <w:rsid w:val="00DA6234"/>
    <w:rsid w:val="00DB0BB8"/>
    <w:rsid w:val="00DB1374"/>
    <w:rsid w:val="00DB377A"/>
    <w:rsid w:val="00DB7D40"/>
    <w:rsid w:val="00DC032B"/>
    <w:rsid w:val="00DC1794"/>
    <w:rsid w:val="00DC1EF3"/>
    <w:rsid w:val="00DC43ED"/>
    <w:rsid w:val="00DD0E9B"/>
    <w:rsid w:val="00DD36A7"/>
    <w:rsid w:val="00DD3DDA"/>
    <w:rsid w:val="00DD48A5"/>
    <w:rsid w:val="00DD54E0"/>
    <w:rsid w:val="00DE0020"/>
    <w:rsid w:val="00DE178C"/>
    <w:rsid w:val="00DE1D10"/>
    <w:rsid w:val="00DE4307"/>
    <w:rsid w:val="00DE4DCE"/>
    <w:rsid w:val="00DE6956"/>
    <w:rsid w:val="00DF3533"/>
    <w:rsid w:val="00DF42C2"/>
    <w:rsid w:val="00DF520A"/>
    <w:rsid w:val="00DF55CE"/>
    <w:rsid w:val="00E0142F"/>
    <w:rsid w:val="00E0229B"/>
    <w:rsid w:val="00E0351F"/>
    <w:rsid w:val="00E036DD"/>
    <w:rsid w:val="00E04699"/>
    <w:rsid w:val="00E1458D"/>
    <w:rsid w:val="00E15A6A"/>
    <w:rsid w:val="00E17299"/>
    <w:rsid w:val="00E17D54"/>
    <w:rsid w:val="00E17EDB"/>
    <w:rsid w:val="00E24383"/>
    <w:rsid w:val="00E260AB"/>
    <w:rsid w:val="00E27885"/>
    <w:rsid w:val="00E27D40"/>
    <w:rsid w:val="00E316B8"/>
    <w:rsid w:val="00E37B3A"/>
    <w:rsid w:val="00E4179D"/>
    <w:rsid w:val="00E43433"/>
    <w:rsid w:val="00E43EC9"/>
    <w:rsid w:val="00E44329"/>
    <w:rsid w:val="00E45EE8"/>
    <w:rsid w:val="00E519B9"/>
    <w:rsid w:val="00E540A1"/>
    <w:rsid w:val="00E55097"/>
    <w:rsid w:val="00E55E51"/>
    <w:rsid w:val="00E571EA"/>
    <w:rsid w:val="00E6089F"/>
    <w:rsid w:val="00E609B5"/>
    <w:rsid w:val="00E60B27"/>
    <w:rsid w:val="00E669C9"/>
    <w:rsid w:val="00E706E1"/>
    <w:rsid w:val="00E7109E"/>
    <w:rsid w:val="00E72A44"/>
    <w:rsid w:val="00E80D7B"/>
    <w:rsid w:val="00E83899"/>
    <w:rsid w:val="00E8462D"/>
    <w:rsid w:val="00E87546"/>
    <w:rsid w:val="00E9084B"/>
    <w:rsid w:val="00E95C28"/>
    <w:rsid w:val="00E960C8"/>
    <w:rsid w:val="00E96B23"/>
    <w:rsid w:val="00EA5226"/>
    <w:rsid w:val="00EB212D"/>
    <w:rsid w:val="00EB7E72"/>
    <w:rsid w:val="00EC3375"/>
    <w:rsid w:val="00EC3FD8"/>
    <w:rsid w:val="00EC4D26"/>
    <w:rsid w:val="00EC5EDE"/>
    <w:rsid w:val="00EC6441"/>
    <w:rsid w:val="00ED0068"/>
    <w:rsid w:val="00ED4F81"/>
    <w:rsid w:val="00EE0155"/>
    <w:rsid w:val="00EE46E6"/>
    <w:rsid w:val="00EE644B"/>
    <w:rsid w:val="00EE66CC"/>
    <w:rsid w:val="00EF06F3"/>
    <w:rsid w:val="00EF287B"/>
    <w:rsid w:val="00EF4510"/>
    <w:rsid w:val="00EF5C3B"/>
    <w:rsid w:val="00F024B2"/>
    <w:rsid w:val="00F04225"/>
    <w:rsid w:val="00F04D6F"/>
    <w:rsid w:val="00F07018"/>
    <w:rsid w:val="00F103E1"/>
    <w:rsid w:val="00F1494A"/>
    <w:rsid w:val="00F20FBB"/>
    <w:rsid w:val="00F24589"/>
    <w:rsid w:val="00F248C7"/>
    <w:rsid w:val="00F25125"/>
    <w:rsid w:val="00F320F0"/>
    <w:rsid w:val="00F4007B"/>
    <w:rsid w:val="00F4245C"/>
    <w:rsid w:val="00F45D2D"/>
    <w:rsid w:val="00F52149"/>
    <w:rsid w:val="00F52F64"/>
    <w:rsid w:val="00F714DD"/>
    <w:rsid w:val="00F72A00"/>
    <w:rsid w:val="00F74957"/>
    <w:rsid w:val="00F85F25"/>
    <w:rsid w:val="00F91685"/>
    <w:rsid w:val="00F9184B"/>
    <w:rsid w:val="00F9523D"/>
    <w:rsid w:val="00FA34C6"/>
    <w:rsid w:val="00FA7216"/>
    <w:rsid w:val="00FB1F82"/>
    <w:rsid w:val="00FB42CE"/>
    <w:rsid w:val="00FB488E"/>
    <w:rsid w:val="00FB71AF"/>
    <w:rsid w:val="00FB7673"/>
    <w:rsid w:val="00FC0B94"/>
    <w:rsid w:val="00FC2BF7"/>
    <w:rsid w:val="00FC5D1C"/>
    <w:rsid w:val="00FC6541"/>
    <w:rsid w:val="00FD6B7D"/>
    <w:rsid w:val="00FE4A52"/>
    <w:rsid w:val="00FE74CD"/>
    <w:rsid w:val="00FE7A0A"/>
    <w:rsid w:val="00FF2543"/>
    <w:rsid w:val="00FF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chartTrackingRefBased/>
  <w15:docId w15:val="{B52E403B-F9E8-4713-A1EB-095CC8C7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lang w:val="ro-RO"/>
      <w14:ligatures w14:val="none"/>
    </w:rPr>
  </w:style>
  <w:style w:type="character" w:customStyle="1" w:styleId="FootnoteTextChar">
    <w:name w:val="Footnote Text Char"/>
    <w:basedOn w:val="DefaultParagraphFont"/>
    <w:link w:val="FootnoteText"/>
    <w:uiPriority w:val="99"/>
    <w:semiHidden/>
    <w:rsid w:val="00922FEB"/>
    <w:rPr>
      <w:kern w:val="0"/>
      <w:sz w:val="20"/>
      <w:szCs w:val="20"/>
      <w:lang w:val="ro-RO"/>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34"/>
    <w:qFormat/>
    <w:rsid w:val="00922FEB"/>
    <w:pPr>
      <w:spacing w:after="200" w:line="276" w:lineRule="auto"/>
      <w:ind w:left="720"/>
      <w:contextualSpacing/>
    </w:pPr>
    <w:rPr>
      <w:kern w:val="0"/>
      <w:lang w:val="ro-RO"/>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lang w:val="ro-RO"/>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unhideWhenUsed/>
    <w:rsid w:val="00922FEB"/>
    <w:pPr>
      <w:spacing w:after="200" w:line="240" w:lineRule="auto"/>
    </w:pPr>
    <w:rPr>
      <w:kern w:val="0"/>
      <w:sz w:val="20"/>
      <w:szCs w:val="20"/>
      <w:lang w:val="ro-RO"/>
      <w14:ligatures w14:val="none"/>
    </w:rPr>
  </w:style>
  <w:style w:type="character" w:customStyle="1" w:styleId="CommentTextChar">
    <w:name w:val="Comment Text Char"/>
    <w:basedOn w:val="DefaultParagraphFont"/>
    <w:link w:val="CommentText"/>
    <w:uiPriority w:val="99"/>
    <w:rsid w:val="00922FEB"/>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lang w:val="ro-RO"/>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lang w:val="ro-RO"/>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lang w:val="ro-RO"/>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customStyle="1" w:styleId="UnresolvedMention1">
    <w:name w:val="Unresolved Mention1"/>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lang w:val="sq-AL"/>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lang w:val="sq-AL"/>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 w:type="paragraph" w:customStyle="1" w:styleId="oj-normal">
    <w:name w:val="oj-normal"/>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j-ti-grseq-1">
    <w:name w:val="oj-ti-grseq-1"/>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expanded">
    <w:name w:val="oj-expanded"/>
    <w:basedOn w:val="DefaultParagraphFont"/>
    <w:rsid w:val="0077636B"/>
  </w:style>
  <w:style w:type="paragraph" w:customStyle="1" w:styleId="oj-ti-art">
    <w:name w:val="oj-ti-art"/>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super">
    <w:name w:val="oj-super"/>
    <w:basedOn w:val="DefaultParagraphFont"/>
    <w:rsid w:val="0077636B"/>
  </w:style>
  <w:style w:type="paragraph" w:styleId="NoSpacing">
    <w:name w:val="No Spacing"/>
    <w:uiPriority w:val="1"/>
    <w:qFormat/>
    <w:rsid w:val="0071079D"/>
    <w:pPr>
      <w:spacing w:after="0" w:line="240" w:lineRule="auto"/>
    </w:pPr>
    <w:rPr>
      <w:rFonts w:eastAsiaTheme="minorEastAsia"/>
      <w:kern w:val="0"/>
      <w14:ligatures w14:val="none"/>
    </w:rPr>
  </w:style>
  <w:style w:type="character" w:customStyle="1" w:styleId="legamendingtext">
    <w:name w:val="legamendingtext"/>
    <w:basedOn w:val="DefaultParagraphFont"/>
    <w:rsid w:val="0042577F"/>
  </w:style>
  <w:style w:type="paragraph" w:customStyle="1" w:styleId="legclearfix">
    <w:name w:val="legclearfix"/>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rhs">
    <w:name w:val="legrhs"/>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A84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sq-AL" w:eastAsia="sq-AL"/>
      <w14:ligatures w14:val="none"/>
    </w:rPr>
  </w:style>
  <w:style w:type="character" w:customStyle="1" w:styleId="HTMLPreformattedChar">
    <w:name w:val="HTML Preformatted Char"/>
    <w:basedOn w:val="DefaultParagraphFont"/>
    <w:link w:val="HTMLPreformatted"/>
    <w:uiPriority w:val="99"/>
    <w:rsid w:val="00A846ED"/>
    <w:rPr>
      <w:rFonts w:ascii="Courier New" w:eastAsia="Times New Roman" w:hAnsi="Courier New" w:cs="Courier New"/>
      <w:kern w:val="0"/>
      <w:sz w:val="20"/>
      <w:szCs w:val="20"/>
      <w:lang w:val="sq-AL" w:eastAsia="sq-AL"/>
      <w14:ligatures w14:val="none"/>
    </w:rPr>
  </w:style>
  <w:style w:type="character" w:customStyle="1" w:styleId="y2iqfc">
    <w:name w:val="y2iqfc"/>
    <w:basedOn w:val="DefaultParagraphFont"/>
    <w:rsid w:val="00A846ED"/>
  </w:style>
  <w:style w:type="paragraph" w:styleId="Revision">
    <w:name w:val="Revision"/>
    <w:hidden/>
    <w:uiPriority w:val="99"/>
    <w:semiHidden/>
    <w:rsid w:val="00A851A8"/>
    <w:pPr>
      <w:spacing w:after="0" w:line="240" w:lineRule="auto"/>
    </w:pPr>
  </w:style>
  <w:style w:type="paragraph" w:customStyle="1" w:styleId="pf0">
    <w:name w:val="pf0"/>
    <w:basedOn w:val="Normal"/>
    <w:rsid w:val="003344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3344C0"/>
    <w:rPr>
      <w:rFonts w:ascii="Segoe UI" w:hAnsi="Segoe UI" w:cs="Segoe UI" w:hint="default"/>
      <w:sz w:val="18"/>
      <w:szCs w:val="18"/>
    </w:rPr>
  </w:style>
  <w:style w:type="character" w:customStyle="1" w:styleId="cf21">
    <w:name w:val="cf21"/>
    <w:basedOn w:val="DefaultParagraphFont"/>
    <w:rsid w:val="003344C0"/>
    <w:rPr>
      <w:rFonts w:ascii="Segoe UI" w:hAnsi="Segoe UI" w:cs="Segoe UI" w:hint="default"/>
      <w:i/>
      <w:iCs/>
      <w:sz w:val="18"/>
      <w:szCs w:val="18"/>
    </w:rPr>
  </w:style>
  <w:style w:type="paragraph" w:styleId="z-TopofForm">
    <w:name w:val="HTML Top of Form"/>
    <w:basedOn w:val="Normal"/>
    <w:next w:val="Normal"/>
    <w:link w:val="z-TopofFormChar"/>
    <w:hidden/>
    <w:uiPriority w:val="99"/>
    <w:semiHidden/>
    <w:unhideWhenUsed/>
    <w:rsid w:val="000D3B1C"/>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D3B1C"/>
    <w:rPr>
      <w:rFonts w:ascii="Arial" w:eastAsia="Times New Roman" w:hAnsi="Arial" w:cs="Arial"/>
      <w:vanish/>
      <w:kern w:val="0"/>
      <w:sz w:val="16"/>
      <w:szCs w:val="16"/>
      <w14:ligatures w14:val="none"/>
    </w:rPr>
  </w:style>
  <w:style w:type="paragraph" w:customStyle="1" w:styleId="placeholder">
    <w:name w:val="placeholder"/>
    <w:basedOn w:val="Normal"/>
    <w:rsid w:val="000D3B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0D3B1C"/>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D3B1C"/>
    <w:rPr>
      <w:rFonts w:ascii="Arial" w:eastAsia="Times New Roman" w:hAnsi="Arial" w:cs="Arial"/>
      <w:vanish/>
      <w:kern w:val="0"/>
      <w:sz w:val="16"/>
      <w:szCs w:val="16"/>
      <w14:ligatures w14:val="none"/>
    </w:rPr>
  </w:style>
  <w:style w:type="character" w:customStyle="1" w:styleId="oj-italic">
    <w:name w:val="oj-italic"/>
    <w:basedOn w:val="DefaultParagraphFont"/>
    <w:rsid w:val="00147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6853641">
      <w:bodyDiv w:val="1"/>
      <w:marLeft w:val="0"/>
      <w:marRight w:val="0"/>
      <w:marTop w:val="0"/>
      <w:marBottom w:val="0"/>
      <w:divBdr>
        <w:top w:val="none" w:sz="0" w:space="0" w:color="auto"/>
        <w:left w:val="none" w:sz="0" w:space="0" w:color="auto"/>
        <w:bottom w:val="none" w:sz="0" w:space="0" w:color="auto"/>
        <w:right w:val="none" w:sz="0" w:space="0" w:color="auto"/>
      </w:divBdr>
      <w:divsChild>
        <w:div w:id="80807730">
          <w:marLeft w:val="0"/>
          <w:marRight w:val="0"/>
          <w:marTop w:val="0"/>
          <w:marBottom w:val="0"/>
          <w:divBdr>
            <w:top w:val="none" w:sz="0" w:space="0" w:color="auto"/>
            <w:left w:val="none" w:sz="0" w:space="0" w:color="auto"/>
            <w:bottom w:val="none" w:sz="0" w:space="0" w:color="auto"/>
            <w:right w:val="none" w:sz="0" w:space="0" w:color="auto"/>
          </w:divBdr>
        </w:div>
        <w:div w:id="388841559">
          <w:marLeft w:val="0"/>
          <w:marRight w:val="0"/>
          <w:marTop w:val="0"/>
          <w:marBottom w:val="0"/>
          <w:divBdr>
            <w:top w:val="none" w:sz="0" w:space="0" w:color="auto"/>
            <w:left w:val="none" w:sz="0" w:space="0" w:color="auto"/>
            <w:bottom w:val="none" w:sz="0" w:space="0" w:color="auto"/>
            <w:right w:val="none" w:sz="0" w:space="0" w:color="auto"/>
          </w:divBdr>
        </w:div>
        <w:div w:id="1896507503">
          <w:marLeft w:val="0"/>
          <w:marRight w:val="0"/>
          <w:marTop w:val="0"/>
          <w:marBottom w:val="0"/>
          <w:divBdr>
            <w:top w:val="none" w:sz="0" w:space="0" w:color="auto"/>
            <w:left w:val="none" w:sz="0" w:space="0" w:color="auto"/>
            <w:bottom w:val="none" w:sz="0" w:space="0" w:color="auto"/>
            <w:right w:val="none" w:sz="0" w:space="0" w:color="auto"/>
          </w:divBdr>
        </w:div>
        <w:div w:id="1199705502">
          <w:marLeft w:val="0"/>
          <w:marRight w:val="0"/>
          <w:marTop w:val="0"/>
          <w:marBottom w:val="0"/>
          <w:divBdr>
            <w:top w:val="none" w:sz="0" w:space="0" w:color="auto"/>
            <w:left w:val="none" w:sz="0" w:space="0" w:color="auto"/>
            <w:bottom w:val="none" w:sz="0" w:space="0" w:color="auto"/>
            <w:right w:val="none" w:sz="0" w:space="0" w:color="auto"/>
          </w:divBdr>
        </w:div>
      </w:divsChild>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29173303">
      <w:bodyDiv w:val="1"/>
      <w:marLeft w:val="0"/>
      <w:marRight w:val="0"/>
      <w:marTop w:val="0"/>
      <w:marBottom w:val="0"/>
      <w:divBdr>
        <w:top w:val="none" w:sz="0" w:space="0" w:color="auto"/>
        <w:left w:val="none" w:sz="0" w:space="0" w:color="auto"/>
        <w:bottom w:val="none" w:sz="0" w:space="0" w:color="auto"/>
        <w:right w:val="none" w:sz="0" w:space="0" w:color="auto"/>
      </w:divBdr>
    </w:div>
    <w:div w:id="134420579">
      <w:bodyDiv w:val="1"/>
      <w:marLeft w:val="0"/>
      <w:marRight w:val="0"/>
      <w:marTop w:val="0"/>
      <w:marBottom w:val="0"/>
      <w:divBdr>
        <w:top w:val="none" w:sz="0" w:space="0" w:color="auto"/>
        <w:left w:val="none" w:sz="0" w:space="0" w:color="auto"/>
        <w:bottom w:val="none" w:sz="0" w:space="0" w:color="auto"/>
        <w:right w:val="none" w:sz="0" w:space="0" w:color="auto"/>
      </w:divBdr>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85019615">
      <w:bodyDiv w:val="1"/>
      <w:marLeft w:val="0"/>
      <w:marRight w:val="0"/>
      <w:marTop w:val="0"/>
      <w:marBottom w:val="0"/>
      <w:divBdr>
        <w:top w:val="none" w:sz="0" w:space="0" w:color="auto"/>
        <w:left w:val="none" w:sz="0" w:space="0" w:color="auto"/>
        <w:bottom w:val="none" w:sz="0" w:space="0" w:color="auto"/>
        <w:right w:val="none" w:sz="0" w:space="0" w:color="auto"/>
      </w:divBdr>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203753936">
      <w:bodyDiv w:val="1"/>
      <w:marLeft w:val="0"/>
      <w:marRight w:val="0"/>
      <w:marTop w:val="0"/>
      <w:marBottom w:val="0"/>
      <w:divBdr>
        <w:top w:val="none" w:sz="0" w:space="0" w:color="auto"/>
        <w:left w:val="none" w:sz="0" w:space="0" w:color="auto"/>
        <w:bottom w:val="none" w:sz="0" w:space="0" w:color="auto"/>
        <w:right w:val="none" w:sz="0" w:space="0" w:color="auto"/>
      </w:divBdr>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271671302">
      <w:bodyDiv w:val="1"/>
      <w:marLeft w:val="0"/>
      <w:marRight w:val="0"/>
      <w:marTop w:val="0"/>
      <w:marBottom w:val="0"/>
      <w:divBdr>
        <w:top w:val="none" w:sz="0" w:space="0" w:color="auto"/>
        <w:left w:val="none" w:sz="0" w:space="0" w:color="auto"/>
        <w:bottom w:val="none" w:sz="0" w:space="0" w:color="auto"/>
        <w:right w:val="none" w:sz="0" w:space="0" w:color="auto"/>
      </w:divBdr>
    </w:div>
    <w:div w:id="326712156">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5601155">
      <w:bodyDiv w:val="1"/>
      <w:marLeft w:val="0"/>
      <w:marRight w:val="0"/>
      <w:marTop w:val="0"/>
      <w:marBottom w:val="0"/>
      <w:divBdr>
        <w:top w:val="none" w:sz="0" w:space="0" w:color="auto"/>
        <w:left w:val="none" w:sz="0" w:space="0" w:color="auto"/>
        <w:bottom w:val="none" w:sz="0" w:space="0" w:color="auto"/>
        <w:right w:val="none" w:sz="0" w:space="0" w:color="auto"/>
      </w:divBdr>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48337347">
      <w:bodyDiv w:val="1"/>
      <w:marLeft w:val="0"/>
      <w:marRight w:val="0"/>
      <w:marTop w:val="0"/>
      <w:marBottom w:val="0"/>
      <w:divBdr>
        <w:top w:val="none" w:sz="0" w:space="0" w:color="auto"/>
        <w:left w:val="none" w:sz="0" w:space="0" w:color="auto"/>
        <w:bottom w:val="none" w:sz="0" w:space="0" w:color="auto"/>
        <w:right w:val="none" w:sz="0" w:space="0" w:color="auto"/>
      </w:divBdr>
    </w:div>
    <w:div w:id="348726390">
      <w:bodyDiv w:val="1"/>
      <w:marLeft w:val="0"/>
      <w:marRight w:val="0"/>
      <w:marTop w:val="0"/>
      <w:marBottom w:val="0"/>
      <w:divBdr>
        <w:top w:val="none" w:sz="0" w:space="0" w:color="auto"/>
        <w:left w:val="none" w:sz="0" w:space="0" w:color="auto"/>
        <w:bottom w:val="none" w:sz="0" w:space="0" w:color="auto"/>
        <w:right w:val="none" w:sz="0" w:space="0" w:color="auto"/>
      </w:divBdr>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389815015">
      <w:bodyDiv w:val="1"/>
      <w:marLeft w:val="0"/>
      <w:marRight w:val="0"/>
      <w:marTop w:val="0"/>
      <w:marBottom w:val="0"/>
      <w:divBdr>
        <w:top w:val="none" w:sz="0" w:space="0" w:color="auto"/>
        <w:left w:val="none" w:sz="0" w:space="0" w:color="auto"/>
        <w:bottom w:val="none" w:sz="0" w:space="0" w:color="auto"/>
        <w:right w:val="none" w:sz="0" w:space="0" w:color="auto"/>
      </w:divBdr>
    </w:div>
    <w:div w:id="395401235">
      <w:bodyDiv w:val="1"/>
      <w:marLeft w:val="0"/>
      <w:marRight w:val="0"/>
      <w:marTop w:val="0"/>
      <w:marBottom w:val="0"/>
      <w:divBdr>
        <w:top w:val="none" w:sz="0" w:space="0" w:color="auto"/>
        <w:left w:val="none" w:sz="0" w:space="0" w:color="auto"/>
        <w:bottom w:val="none" w:sz="0" w:space="0" w:color="auto"/>
        <w:right w:val="none" w:sz="0" w:space="0" w:color="auto"/>
      </w:divBdr>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453714">
      <w:bodyDiv w:val="1"/>
      <w:marLeft w:val="0"/>
      <w:marRight w:val="0"/>
      <w:marTop w:val="0"/>
      <w:marBottom w:val="0"/>
      <w:divBdr>
        <w:top w:val="none" w:sz="0" w:space="0" w:color="auto"/>
        <w:left w:val="none" w:sz="0" w:space="0" w:color="auto"/>
        <w:bottom w:val="none" w:sz="0" w:space="0" w:color="auto"/>
        <w:right w:val="none" w:sz="0" w:space="0" w:color="auto"/>
      </w:divBdr>
      <w:divsChild>
        <w:div w:id="255674626">
          <w:marLeft w:val="0"/>
          <w:marRight w:val="0"/>
          <w:marTop w:val="0"/>
          <w:marBottom w:val="0"/>
          <w:divBdr>
            <w:top w:val="none" w:sz="0" w:space="0" w:color="auto"/>
            <w:left w:val="none" w:sz="0" w:space="0" w:color="auto"/>
            <w:bottom w:val="none" w:sz="0" w:space="0" w:color="auto"/>
            <w:right w:val="none" w:sz="0" w:space="0" w:color="auto"/>
          </w:divBdr>
        </w:div>
        <w:div w:id="908464086">
          <w:marLeft w:val="0"/>
          <w:marRight w:val="0"/>
          <w:marTop w:val="0"/>
          <w:marBottom w:val="0"/>
          <w:divBdr>
            <w:top w:val="none" w:sz="0" w:space="0" w:color="auto"/>
            <w:left w:val="none" w:sz="0" w:space="0" w:color="auto"/>
            <w:bottom w:val="none" w:sz="0" w:space="0" w:color="auto"/>
            <w:right w:val="none" w:sz="0" w:space="0" w:color="auto"/>
          </w:divBdr>
        </w:div>
      </w:divsChild>
    </w:div>
    <w:div w:id="447050906">
      <w:bodyDiv w:val="1"/>
      <w:marLeft w:val="0"/>
      <w:marRight w:val="0"/>
      <w:marTop w:val="0"/>
      <w:marBottom w:val="0"/>
      <w:divBdr>
        <w:top w:val="none" w:sz="0" w:space="0" w:color="auto"/>
        <w:left w:val="none" w:sz="0" w:space="0" w:color="auto"/>
        <w:bottom w:val="none" w:sz="0" w:space="0" w:color="auto"/>
        <w:right w:val="none" w:sz="0" w:space="0" w:color="auto"/>
      </w:divBdr>
      <w:divsChild>
        <w:div w:id="13003924">
          <w:marLeft w:val="0"/>
          <w:marRight w:val="0"/>
          <w:marTop w:val="0"/>
          <w:marBottom w:val="0"/>
          <w:divBdr>
            <w:top w:val="none" w:sz="0" w:space="0" w:color="auto"/>
            <w:left w:val="none" w:sz="0" w:space="0" w:color="auto"/>
            <w:bottom w:val="none" w:sz="0" w:space="0" w:color="auto"/>
            <w:right w:val="none" w:sz="0" w:space="0" w:color="auto"/>
          </w:divBdr>
        </w:div>
        <w:div w:id="416171366">
          <w:marLeft w:val="0"/>
          <w:marRight w:val="0"/>
          <w:marTop w:val="0"/>
          <w:marBottom w:val="0"/>
          <w:divBdr>
            <w:top w:val="none" w:sz="0" w:space="0" w:color="auto"/>
            <w:left w:val="none" w:sz="0" w:space="0" w:color="auto"/>
            <w:bottom w:val="none" w:sz="0" w:space="0" w:color="auto"/>
            <w:right w:val="none" w:sz="0" w:space="0" w:color="auto"/>
          </w:divBdr>
        </w:div>
        <w:div w:id="1956326091">
          <w:marLeft w:val="0"/>
          <w:marRight w:val="0"/>
          <w:marTop w:val="0"/>
          <w:marBottom w:val="0"/>
          <w:divBdr>
            <w:top w:val="none" w:sz="0" w:space="0" w:color="auto"/>
            <w:left w:val="none" w:sz="0" w:space="0" w:color="auto"/>
            <w:bottom w:val="none" w:sz="0" w:space="0" w:color="auto"/>
            <w:right w:val="none" w:sz="0" w:space="0" w:color="auto"/>
          </w:divBdr>
        </w:div>
        <w:div w:id="1482966685">
          <w:marLeft w:val="0"/>
          <w:marRight w:val="0"/>
          <w:marTop w:val="0"/>
          <w:marBottom w:val="0"/>
          <w:divBdr>
            <w:top w:val="none" w:sz="0" w:space="0" w:color="auto"/>
            <w:left w:val="none" w:sz="0" w:space="0" w:color="auto"/>
            <w:bottom w:val="none" w:sz="0" w:space="0" w:color="auto"/>
            <w:right w:val="none" w:sz="0" w:space="0" w:color="auto"/>
          </w:divBdr>
        </w:div>
      </w:divsChild>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96192425">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8547958">
      <w:bodyDiv w:val="1"/>
      <w:marLeft w:val="0"/>
      <w:marRight w:val="0"/>
      <w:marTop w:val="0"/>
      <w:marBottom w:val="0"/>
      <w:divBdr>
        <w:top w:val="none" w:sz="0" w:space="0" w:color="auto"/>
        <w:left w:val="none" w:sz="0" w:space="0" w:color="auto"/>
        <w:bottom w:val="none" w:sz="0" w:space="0" w:color="auto"/>
        <w:right w:val="none" w:sz="0" w:space="0" w:color="auto"/>
      </w:divBdr>
      <w:divsChild>
        <w:div w:id="440565309">
          <w:marLeft w:val="0"/>
          <w:marRight w:val="0"/>
          <w:marTop w:val="0"/>
          <w:marBottom w:val="0"/>
          <w:divBdr>
            <w:top w:val="none" w:sz="0" w:space="0" w:color="auto"/>
            <w:left w:val="none" w:sz="0" w:space="0" w:color="auto"/>
            <w:bottom w:val="none" w:sz="0" w:space="0" w:color="auto"/>
            <w:right w:val="none" w:sz="0" w:space="0" w:color="auto"/>
          </w:divBdr>
        </w:div>
        <w:div w:id="1471702461">
          <w:marLeft w:val="0"/>
          <w:marRight w:val="0"/>
          <w:marTop w:val="0"/>
          <w:marBottom w:val="0"/>
          <w:divBdr>
            <w:top w:val="none" w:sz="0" w:space="0" w:color="auto"/>
            <w:left w:val="none" w:sz="0" w:space="0" w:color="auto"/>
            <w:bottom w:val="none" w:sz="0" w:space="0" w:color="auto"/>
            <w:right w:val="none" w:sz="0" w:space="0" w:color="auto"/>
          </w:divBdr>
        </w:div>
      </w:divsChild>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53610071">
      <w:bodyDiv w:val="1"/>
      <w:marLeft w:val="0"/>
      <w:marRight w:val="0"/>
      <w:marTop w:val="0"/>
      <w:marBottom w:val="0"/>
      <w:divBdr>
        <w:top w:val="none" w:sz="0" w:space="0" w:color="auto"/>
        <w:left w:val="none" w:sz="0" w:space="0" w:color="auto"/>
        <w:bottom w:val="none" w:sz="0" w:space="0" w:color="auto"/>
        <w:right w:val="none" w:sz="0" w:space="0" w:color="auto"/>
      </w:divBdr>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01257174">
      <w:bodyDiv w:val="1"/>
      <w:marLeft w:val="0"/>
      <w:marRight w:val="0"/>
      <w:marTop w:val="0"/>
      <w:marBottom w:val="0"/>
      <w:divBdr>
        <w:top w:val="none" w:sz="0" w:space="0" w:color="auto"/>
        <w:left w:val="none" w:sz="0" w:space="0" w:color="auto"/>
        <w:bottom w:val="none" w:sz="0" w:space="0" w:color="auto"/>
        <w:right w:val="none" w:sz="0" w:space="0" w:color="auto"/>
      </w:divBdr>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61348954">
      <w:bodyDiv w:val="1"/>
      <w:marLeft w:val="0"/>
      <w:marRight w:val="0"/>
      <w:marTop w:val="0"/>
      <w:marBottom w:val="0"/>
      <w:divBdr>
        <w:top w:val="none" w:sz="0" w:space="0" w:color="auto"/>
        <w:left w:val="none" w:sz="0" w:space="0" w:color="auto"/>
        <w:bottom w:val="none" w:sz="0" w:space="0" w:color="auto"/>
        <w:right w:val="none" w:sz="0" w:space="0" w:color="auto"/>
      </w:divBdr>
    </w:div>
    <w:div w:id="966082170">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18895328">
      <w:bodyDiv w:val="1"/>
      <w:marLeft w:val="0"/>
      <w:marRight w:val="0"/>
      <w:marTop w:val="0"/>
      <w:marBottom w:val="0"/>
      <w:divBdr>
        <w:top w:val="none" w:sz="0" w:space="0" w:color="auto"/>
        <w:left w:val="none" w:sz="0" w:space="0" w:color="auto"/>
        <w:bottom w:val="none" w:sz="0" w:space="0" w:color="auto"/>
        <w:right w:val="none" w:sz="0" w:space="0" w:color="auto"/>
      </w:divBdr>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04036639">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43428929">
      <w:bodyDiv w:val="1"/>
      <w:marLeft w:val="0"/>
      <w:marRight w:val="0"/>
      <w:marTop w:val="0"/>
      <w:marBottom w:val="0"/>
      <w:divBdr>
        <w:top w:val="none" w:sz="0" w:space="0" w:color="auto"/>
        <w:left w:val="none" w:sz="0" w:space="0" w:color="auto"/>
        <w:bottom w:val="none" w:sz="0" w:space="0" w:color="auto"/>
        <w:right w:val="none" w:sz="0" w:space="0" w:color="auto"/>
      </w:divBdr>
      <w:divsChild>
        <w:div w:id="1379939966">
          <w:marLeft w:val="0"/>
          <w:marRight w:val="0"/>
          <w:marTop w:val="0"/>
          <w:marBottom w:val="0"/>
          <w:divBdr>
            <w:top w:val="none" w:sz="0" w:space="0" w:color="auto"/>
            <w:left w:val="none" w:sz="0" w:space="0" w:color="auto"/>
            <w:bottom w:val="none" w:sz="0" w:space="0" w:color="auto"/>
            <w:right w:val="none" w:sz="0" w:space="0" w:color="auto"/>
          </w:divBdr>
        </w:div>
        <w:div w:id="1393117421">
          <w:marLeft w:val="0"/>
          <w:marRight w:val="0"/>
          <w:marTop w:val="0"/>
          <w:marBottom w:val="0"/>
          <w:divBdr>
            <w:top w:val="none" w:sz="0" w:space="0" w:color="auto"/>
            <w:left w:val="none" w:sz="0" w:space="0" w:color="auto"/>
            <w:bottom w:val="none" w:sz="0" w:space="0" w:color="auto"/>
            <w:right w:val="none" w:sz="0" w:space="0" w:color="auto"/>
          </w:divBdr>
        </w:div>
      </w:divsChild>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18083812">
      <w:bodyDiv w:val="1"/>
      <w:marLeft w:val="0"/>
      <w:marRight w:val="0"/>
      <w:marTop w:val="0"/>
      <w:marBottom w:val="0"/>
      <w:divBdr>
        <w:top w:val="none" w:sz="0" w:space="0" w:color="auto"/>
        <w:left w:val="none" w:sz="0" w:space="0" w:color="auto"/>
        <w:bottom w:val="none" w:sz="0" w:space="0" w:color="auto"/>
        <w:right w:val="none" w:sz="0" w:space="0" w:color="auto"/>
      </w:divBdr>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29017688">
      <w:bodyDiv w:val="1"/>
      <w:marLeft w:val="0"/>
      <w:marRight w:val="0"/>
      <w:marTop w:val="0"/>
      <w:marBottom w:val="0"/>
      <w:divBdr>
        <w:top w:val="none" w:sz="0" w:space="0" w:color="auto"/>
        <w:left w:val="none" w:sz="0" w:space="0" w:color="auto"/>
        <w:bottom w:val="none" w:sz="0" w:space="0" w:color="auto"/>
        <w:right w:val="none" w:sz="0" w:space="0" w:color="auto"/>
      </w:divBdr>
      <w:divsChild>
        <w:div w:id="1106728845">
          <w:marLeft w:val="0"/>
          <w:marRight w:val="0"/>
          <w:marTop w:val="0"/>
          <w:marBottom w:val="0"/>
          <w:divBdr>
            <w:top w:val="none" w:sz="0" w:space="0" w:color="auto"/>
            <w:left w:val="none" w:sz="0" w:space="0" w:color="auto"/>
            <w:bottom w:val="none" w:sz="0" w:space="0" w:color="auto"/>
            <w:right w:val="none" w:sz="0" w:space="0" w:color="auto"/>
          </w:divBdr>
        </w:div>
        <w:div w:id="2039818381">
          <w:marLeft w:val="0"/>
          <w:marRight w:val="0"/>
          <w:marTop w:val="0"/>
          <w:marBottom w:val="0"/>
          <w:divBdr>
            <w:top w:val="none" w:sz="0" w:space="0" w:color="auto"/>
            <w:left w:val="none" w:sz="0" w:space="0" w:color="auto"/>
            <w:bottom w:val="none" w:sz="0" w:space="0" w:color="auto"/>
            <w:right w:val="none" w:sz="0" w:space="0" w:color="auto"/>
          </w:divBdr>
        </w:div>
      </w:divsChild>
    </w:div>
    <w:div w:id="1343825074">
      <w:bodyDiv w:val="1"/>
      <w:marLeft w:val="0"/>
      <w:marRight w:val="0"/>
      <w:marTop w:val="0"/>
      <w:marBottom w:val="0"/>
      <w:divBdr>
        <w:top w:val="none" w:sz="0" w:space="0" w:color="auto"/>
        <w:left w:val="none" w:sz="0" w:space="0" w:color="auto"/>
        <w:bottom w:val="none" w:sz="0" w:space="0" w:color="auto"/>
        <w:right w:val="none" w:sz="0" w:space="0" w:color="auto"/>
      </w:divBdr>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380519671">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15937206">
      <w:bodyDiv w:val="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48038907">
      <w:bodyDiv w:val="1"/>
      <w:marLeft w:val="0"/>
      <w:marRight w:val="0"/>
      <w:marTop w:val="0"/>
      <w:marBottom w:val="0"/>
      <w:divBdr>
        <w:top w:val="none" w:sz="0" w:space="0" w:color="auto"/>
        <w:left w:val="none" w:sz="0" w:space="0" w:color="auto"/>
        <w:bottom w:val="none" w:sz="0" w:space="0" w:color="auto"/>
        <w:right w:val="none" w:sz="0" w:space="0" w:color="auto"/>
      </w:divBdr>
    </w:div>
    <w:div w:id="1479303759">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480925119">
      <w:bodyDiv w:val="1"/>
      <w:marLeft w:val="0"/>
      <w:marRight w:val="0"/>
      <w:marTop w:val="0"/>
      <w:marBottom w:val="0"/>
      <w:divBdr>
        <w:top w:val="none" w:sz="0" w:space="0" w:color="auto"/>
        <w:left w:val="none" w:sz="0" w:space="0" w:color="auto"/>
        <w:bottom w:val="none" w:sz="0" w:space="0" w:color="auto"/>
        <w:right w:val="none" w:sz="0" w:space="0" w:color="auto"/>
      </w:divBdr>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32573859">
      <w:bodyDiv w:val="1"/>
      <w:marLeft w:val="0"/>
      <w:marRight w:val="0"/>
      <w:marTop w:val="0"/>
      <w:marBottom w:val="0"/>
      <w:divBdr>
        <w:top w:val="none" w:sz="0" w:space="0" w:color="auto"/>
        <w:left w:val="none" w:sz="0" w:space="0" w:color="auto"/>
        <w:bottom w:val="none" w:sz="0" w:space="0" w:color="auto"/>
        <w:right w:val="none" w:sz="0" w:space="0" w:color="auto"/>
      </w:divBdr>
    </w:div>
    <w:div w:id="1551259057">
      <w:bodyDiv w:val="1"/>
      <w:marLeft w:val="0"/>
      <w:marRight w:val="0"/>
      <w:marTop w:val="0"/>
      <w:marBottom w:val="0"/>
      <w:divBdr>
        <w:top w:val="none" w:sz="0" w:space="0" w:color="auto"/>
        <w:left w:val="none" w:sz="0" w:space="0" w:color="auto"/>
        <w:bottom w:val="none" w:sz="0" w:space="0" w:color="auto"/>
        <w:right w:val="none" w:sz="0" w:space="0" w:color="auto"/>
      </w:divBdr>
      <w:divsChild>
        <w:div w:id="1906645843">
          <w:marLeft w:val="0"/>
          <w:marRight w:val="0"/>
          <w:marTop w:val="0"/>
          <w:marBottom w:val="0"/>
          <w:divBdr>
            <w:top w:val="none" w:sz="0" w:space="0" w:color="auto"/>
            <w:left w:val="none" w:sz="0" w:space="0" w:color="auto"/>
            <w:bottom w:val="none" w:sz="0" w:space="0" w:color="auto"/>
            <w:right w:val="none" w:sz="0" w:space="0" w:color="auto"/>
          </w:divBdr>
        </w:div>
      </w:divsChild>
    </w:div>
    <w:div w:id="1552569958">
      <w:bodyDiv w:val="1"/>
      <w:marLeft w:val="0"/>
      <w:marRight w:val="0"/>
      <w:marTop w:val="0"/>
      <w:marBottom w:val="0"/>
      <w:divBdr>
        <w:top w:val="none" w:sz="0" w:space="0" w:color="auto"/>
        <w:left w:val="none" w:sz="0" w:space="0" w:color="auto"/>
        <w:bottom w:val="none" w:sz="0" w:space="0" w:color="auto"/>
        <w:right w:val="none" w:sz="0" w:space="0" w:color="auto"/>
      </w:divBdr>
      <w:divsChild>
        <w:div w:id="1088037239">
          <w:marLeft w:val="0"/>
          <w:marRight w:val="0"/>
          <w:marTop w:val="0"/>
          <w:marBottom w:val="0"/>
          <w:divBdr>
            <w:top w:val="none" w:sz="0" w:space="0" w:color="auto"/>
            <w:left w:val="none" w:sz="0" w:space="0" w:color="auto"/>
            <w:bottom w:val="none" w:sz="0" w:space="0" w:color="auto"/>
            <w:right w:val="none" w:sz="0" w:space="0" w:color="auto"/>
          </w:divBdr>
          <w:divsChild>
            <w:div w:id="2079086402">
              <w:marLeft w:val="0"/>
              <w:marRight w:val="0"/>
              <w:marTop w:val="0"/>
              <w:marBottom w:val="0"/>
              <w:divBdr>
                <w:top w:val="none" w:sz="0" w:space="0" w:color="auto"/>
                <w:left w:val="none" w:sz="0" w:space="0" w:color="auto"/>
                <w:bottom w:val="none" w:sz="0" w:space="0" w:color="auto"/>
                <w:right w:val="none" w:sz="0" w:space="0" w:color="auto"/>
              </w:divBdr>
            </w:div>
            <w:div w:id="761688250">
              <w:marLeft w:val="0"/>
              <w:marRight w:val="0"/>
              <w:marTop w:val="0"/>
              <w:marBottom w:val="0"/>
              <w:divBdr>
                <w:top w:val="none" w:sz="0" w:space="0" w:color="auto"/>
                <w:left w:val="none" w:sz="0" w:space="0" w:color="auto"/>
                <w:bottom w:val="none" w:sz="0" w:space="0" w:color="auto"/>
                <w:right w:val="none" w:sz="0" w:space="0" w:color="auto"/>
              </w:divBdr>
            </w:div>
          </w:divsChild>
        </w:div>
        <w:div w:id="1832870764">
          <w:marLeft w:val="0"/>
          <w:marRight w:val="0"/>
          <w:marTop w:val="0"/>
          <w:marBottom w:val="0"/>
          <w:divBdr>
            <w:top w:val="none" w:sz="0" w:space="0" w:color="auto"/>
            <w:left w:val="none" w:sz="0" w:space="0" w:color="auto"/>
            <w:bottom w:val="none" w:sz="0" w:space="0" w:color="auto"/>
            <w:right w:val="none" w:sz="0" w:space="0" w:color="auto"/>
          </w:divBdr>
        </w:div>
      </w:divsChild>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592353700">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20011143">
      <w:bodyDiv w:val="1"/>
      <w:marLeft w:val="0"/>
      <w:marRight w:val="0"/>
      <w:marTop w:val="0"/>
      <w:marBottom w:val="0"/>
      <w:divBdr>
        <w:top w:val="none" w:sz="0" w:space="0" w:color="auto"/>
        <w:left w:val="none" w:sz="0" w:space="0" w:color="auto"/>
        <w:bottom w:val="none" w:sz="0" w:space="0" w:color="auto"/>
        <w:right w:val="none" w:sz="0" w:space="0" w:color="auto"/>
      </w:divBdr>
      <w:divsChild>
        <w:div w:id="233667402">
          <w:marLeft w:val="0"/>
          <w:marRight w:val="0"/>
          <w:marTop w:val="0"/>
          <w:marBottom w:val="0"/>
          <w:divBdr>
            <w:top w:val="none" w:sz="0" w:space="0" w:color="auto"/>
            <w:left w:val="none" w:sz="0" w:space="0" w:color="auto"/>
            <w:bottom w:val="none" w:sz="0" w:space="0" w:color="auto"/>
            <w:right w:val="none" w:sz="0" w:space="0" w:color="auto"/>
          </w:divBdr>
          <w:divsChild>
            <w:div w:id="1490098215">
              <w:marLeft w:val="0"/>
              <w:marRight w:val="0"/>
              <w:marTop w:val="0"/>
              <w:marBottom w:val="0"/>
              <w:divBdr>
                <w:top w:val="none" w:sz="0" w:space="0" w:color="auto"/>
                <w:left w:val="none" w:sz="0" w:space="0" w:color="auto"/>
                <w:bottom w:val="none" w:sz="0" w:space="0" w:color="auto"/>
                <w:right w:val="none" w:sz="0" w:space="0" w:color="auto"/>
              </w:divBdr>
              <w:divsChild>
                <w:div w:id="850218328">
                  <w:marLeft w:val="0"/>
                  <w:marRight w:val="0"/>
                  <w:marTop w:val="0"/>
                  <w:marBottom w:val="0"/>
                  <w:divBdr>
                    <w:top w:val="none" w:sz="0" w:space="0" w:color="auto"/>
                    <w:left w:val="none" w:sz="0" w:space="0" w:color="auto"/>
                    <w:bottom w:val="none" w:sz="0" w:space="0" w:color="auto"/>
                    <w:right w:val="none" w:sz="0" w:space="0" w:color="auto"/>
                  </w:divBdr>
                  <w:divsChild>
                    <w:div w:id="486170956">
                      <w:marLeft w:val="0"/>
                      <w:marRight w:val="0"/>
                      <w:marTop w:val="0"/>
                      <w:marBottom w:val="0"/>
                      <w:divBdr>
                        <w:top w:val="none" w:sz="0" w:space="0" w:color="auto"/>
                        <w:left w:val="none" w:sz="0" w:space="0" w:color="auto"/>
                        <w:bottom w:val="none" w:sz="0" w:space="0" w:color="auto"/>
                        <w:right w:val="none" w:sz="0" w:space="0" w:color="auto"/>
                      </w:divBdr>
                      <w:divsChild>
                        <w:div w:id="131946433">
                          <w:marLeft w:val="0"/>
                          <w:marRight w:val="0"/>
                          <w:marTop w:val="0"/>
                          <w:marBottom w:val="0"/>
                          <w:divBdr>
                            <w:top w:val="none" w:sz="0" w:space="0" w:color="auto"/>
                            <w:left w:val="none" w:sz="0" w:space="0" w:color="auto"/>
                            <w:bottom w:val="none" w:sz="0" w:space="0" w:color="auto"/>
                            <w:right w:val="none" w:sz="0" w:space="0" w:color="auto"/>
                          </w:divBdr>
                          <w:divsChild>
                            <w:div w:id="4741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927088">
      <w:bodyDiv w:val="1"/>
      <w:marLeft w:val="0"/>
      <w:marRight w:val="0"/>
      <w:marTop w:val="0"/>
      <w:marBottom w:val="0"/>
      <w:divBdr>
        <w:top w:val="none" w:sz="0" w:space="0" w:color="auto"/>
        <w:left w:val="none" w:sz="0" w:space="0" w:color="auto"/>
        <w:bottom w:val="none" w:sz="0" w:space="0" w:color="auto"/>
        <w:right w:val="none" w:sz="0" w:space="0" w:color="auto"/>
      </w:divBdr>
      <w:divsChild>
        <w:div w:id="144443359">
          <w:marLeft w:val="0"/>
          <w:marRight w:val="0"/>
          <w:marTop w:val="0"/>
          <w:marBottom w:val="0"/>
          <w:divBdr>
            <w:top w:val="none" w:sz="0" w:space="0" w:color="auto"/>
            <w:left w:val="none" w:sz="0" w:space="0" w:color="auto"/>
            <w:bottom w:val="none" w:sz="0" w:space="0" w:color="auto"/>
            <w:right w:val="none" w:sz="0" w:space="0" w:color="auto"/>
          </w:divBdr>
          <w:divsChild>
            <w:div w:id="1788233520">
              <w:marLeft w:val="0"/>
              <w:marRight w:val="0"/>
              <w:marTop w:val="0"/>
              <w:marBottom w:val="0"/>
              <w:divBdr>
                <w:top w:val="none" w:sz="0" w:space="0" w:color="auto"/>
                <w:left w:val="none" w:sz="0" w:space="0" w:color="auto"/>
                <w:bottom w:val="none" w:sz="0" w:space="0" w:color="auto"/>
                <w:right w:val="none" w:sz="0" w:space="0" w:color="auto"/>
              </w:divBdr>
              <w:divsChild>
                <w:div w:id="1593778871">
                  <w:marLeft w:val="0"/>
                  <w:marRight w:val="0"/>
                  <w:marTop w:val="0"/>
                  <w:marBottom w:val="0"/>
                  <w:divBdr>
                    <w:top w:val="none" w:sz="0" w:space="0" w:color="auto"/>
                    <w:left w:val="none" w:sz="0" w:space="0" w:color="auto"/>
                    <w:bottom w:val="none" w:sz="0" w:space="0" w:color="auto"/>
                    <w:right w:val="none" w:sz="0" w:space="0" w:color="auto"/>
                  </w:divBdr>
                  <w:divsChild>
                    <w:div w:id="723455566">
                      <w:marLeft w:val="0"/>
                      <w:marRight w:val="0"/>
                      <w:marTop w:val="0"/>
                      <w:marBottom w:val="0"/>
                      <w:divBdr>
                        <w:top w:val="none" w:sz="0" w:space="0" w:color="auto"/>
                        <w:left w:val="none" w:sz="0" w:space="0" w:color="auto"/>
                        <w:bottom w:val="none" w:sz="0" w:space="0" w:color="auto"/>
                        <w:right w:val="none" w:sz="0" w:space="0" w:color="auto"/>
                      </w:divBdr>
                      <w:divsChild>
                        <w:div w:id="2069651127">
                          <w:marLeft w:val="0"/>
                          <w:marRight w:val="0"/>
                          <w:marTop w:val="0"/>
                          <w:marBottom w:val="0"/>
                          <w:divBdr>
                            <w:top w:val="none" w:sz="0" w:space="0" w:color="auto"/>
                            <w:left w:val="none" w:sz="0" w:space="0" w:color="auto"/>
                            <w:bottom w:val="none" w:sz="0" w:space="0" w:color="auto"/>
                            <w:right w:val="none" w:sz="0" w:space="0" w:color="auto"/>
                          </w:divBdr>
                          <w:divsChild>
                            <w:div w:id="1373118886">
                              <w:marLeft w:val="0"/>
                              <w:marRight w:val="0"/>
                              <w:marTop w:val="0"/>
                              <w:marBottom w:val="0"/>
                              <w:divBdr>
                                <w:top w:val="none" w:sz="0" w:space="0" w:color="auto"/>
                                <w:left w:val="none" w:sz="0" w:space="0" w:color="auto"/>
                                <w:bottom w:val="none" w:sz="0" w:space="0" w:color="auto"/>
                                <w:right w:val="none" w:sz="0" w:space="0" w:color="auto"/>
                              </w:divBdr>
                              <w:divsChild>
                                <w:div w:id="1429229676">
                                  <w:marLeft w:val="0"/>
                                  <w:marRight w:val="0"/>
                                  <w:marTop w:val="0"/>
                                  <w:marBottom w:val="0"/>
                                  <w:divBdr>
                                    <w:top w:val="none" w:sz="0" w:space="0" w:color="auto"/>
                                    <w:left w:val="none" w:sz="0" w:space="0" w:color="auto"/>
                                    <w:bottom w:val="none" w:sz="0" w:space="0" w:color="auto"/>
                                    <w:right w:val="none" w:sz="0" w:space="0" w:color="auto"/>
                                  </w:divBdr>
                                  <w:divsChild>
                                    <w:div w:id="20783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088370">
          <w:marLeft w:val="0"/>
          <w:marRight w:val="0"/>
          <w:marTop w:val="0"/>
          <w:marBottom w:val="0"/>
          <w:divBdr>
            <w:top w:val="none" w:sz="0" w:space="0" w:color="auto"/>
            <w:left w:val="none" w:sz="0" w:space="0" w:color="auto"/>
            <w:bottom w:val="none" w:sz="0" w:space="0" w:color="auto"/>
            <w:right w:val="none" w:sz="0" w:space="0" w:color="auto"/>
          </w:divBdr>
          <w:divsChild>
            <w:div w:id="1575774437">
              <w:marLeft w:val="0"/>
              <w:marRight w:val="0"/>
              <w:marTop w:val="0"/>
              <w:marBottom w:val="0"/>
              <w:divBdr>
                <w:top w:val="none" w:sz="0" w:space="0" w:color="auto"/>
                <w:left w:val="none" w:sz="0" w:space="0" w:color="auto"/>
                <w:bottom w:val="none" w:sz="0" w:space="0" w:color="auto"/>
                <w:right w:val="none" w:sz="0" w:space="0" w:color="auto"/>
              </w:divBdr>
              <w:divsChild>
                <w:div w:id="1676877158">
                  <w:marLeft w:val="0"/>
                  <w:marRight w:val="0"/>
                  <w:marTop w:val="0"/>
                  <w:marBottom w:val="0"/>
                  <w:divBdr>
                    <w:top w:val="none" w:sz="0" w:space="0" w:color="auto"/>
                    <w:left w:val="none" w:sz="0" w:space="0" w:color="auto"/>
                    <w:bottom w:val="none" w:sz="0" w:space="0" w:color="auto"/>
                    <w:right w:val="none" w:sz="0" w:space="0" w:color="auto"/>
                  </w:divBdr>
                  <w:divsChild>
                    <w:div w:id="1208227597">
                      <w:marLeft w:val="0"/>
                      <w:marRight w:val="0"/>
                      <w:marTop w:val="0"/>
                      <w:marBottom w:val="0"/>
                      <w:divBdr>
                        <w:top w:val="none" w:sz="0" w:space="0" w:color="auto"/>
                        <w:left w:val="none" w:sz="0" w:space="0" w:color="auto"/>
                        <w:bottom w:val="none" w:sz="0" w:space="0" w:color="auto"/>
                        <w:right w:val="none" w:sz="0" w:space="0" w:color="auto"/>
                      </w:divBdr>
                      <w:divsChild>
                        <w:div w:id="1503618667">
                          <w:marLeft w:val="0"/>
                          <w:marRight w:val="0"/>
                          <w:marTop w:val="0"/>
                          <w:marBottom w:val="0"/>
                          <w:divBdr>
                            <w:top w:val="none" w:sz="0" w:space="0" w:color="auto"/>
                            <w:left w:val="none" w:sz="0" w:space="0" w:color="auto"/>
                            <w:bottom w:val="none" w:sz="0" w:space="0" w:color="auto"/>
                            <w:right w:val="none" w:sz="0" w:space="0" w:color="auto"/>
                          </w:divBdr>
                          <w:divsChild>
                            <w:div w:id="1416130403">
                              <w:marLeft w:val="0"/>
                              <w:marRight w:val="0"/>
                              <w:marTop w:val="0"/>
                              <w:marBottom w:val="0"/>
                              <w:divBdr>
                                <w:top w:val="none" w:sz="0" w:space="0" w:color="auto"/>
                                <w:left w:val="none" w:sz="0" w:space="0" w:color="auto"/>
                                <w:bottom w:val="none" w:sz="0" w:space="0" w:color="auto"/>
                                <w:right w:val="none" w:sz="0" w:space="0" w:color="auto"/>
                              </w:divBdr>
                              <w:divsChild>
                                <w:div w:id="562102337">
                                  <w:marLeft w:val="0"/>
                                  <w:marRight w:val="0"/>
                                  <w:marTop w:val="0"/>
                                  <w:marBottom w:val="0"/>
                                  <w:divBdr>
                                    <w:top w:val="none" w:sz="0" w:space="0" w:color="auto"/>
                                    <w:left w:val="none" w:sz="0" w:space="0" w:color="auto"/>
                                    <w:bottom w:val="none" w:sz="0" w:space="0" w:color="auto"/>
                                    <w:right w:val="none" w:sz="0" w:space="0" w:color="auto"/>
                                  </w:divBdr>
                                  <w:divsChild>
                                    <w:div w:id="1944536904">
                                      <w:marLeft w:val="0"/>
                                      <w:marRight w:val="0"/>
                                      <w:marTop w:val="0"/>
                                      <w:marBottom w:val="0"/>
                                      <w:divBdr>
                                        <w:top w:val="none" w:sz="0" w:space="0" w:color="auto"/>
                                        <w:left w:val="none" w:sz="0" w:space="0" w:color="auto"/>
                                        <w:bottom w:val="none" w:sz="0" w:space="0" w:color="auto"/>
                                        <w:right w:val="none" w:sz="0" w:space="0" w:color="auto"/>
                                      </w:divBdr>
                                      <w:divsChild>
                                        <w:div w:id="1536846908">
                                          <w:marLeft w:val="0"/>
                                          <w:marRight w:val="0"/>
                                          <w:marTop w:val="0"/>
                                          <w:marBottom w:val="0"/>
                                          <w:divBdr>
                                            <w:top w:val="none" w:sz="0" w:space="0" w:color="auto"/>
                                            <w:left w:val="none" w:sz="0" w:space="0" w:color="auto"/>
                                            <w:bottom w:val="none" w:sz="0" w:space="0" w:color="auto"/>
                                            <w:right w:val="none" w:sz="0" w:space="0" w:color="auto"/>
                                          </w:divBdr>
                                          <w:divsChild>
                                            <w:div w:id="374044626">
                                              <w:marLeft w:val="0"/>
                                              <w:marRight w:val="0"/>
                                              <w:marTop w:val="0"/>
                                              <w:marBottom w:val="0"/>
                                              <w:divBdr>
                                                <w:top w:val="none" w:sz="0" w:space="0" w:color="auto"/>
                                                <w:left w:val="none" w:sz="0" w:space="0" w:color="auto"/>
                                                <w:bottom w:val="none" w:sz="0" w:space="0" w:color="auto"/>
                                                <w:right w:val="none" w:sz="0" w:space="0" w:color="auto"/>
                                              </w:divBdr>
                                              <w:divsChild>
                                                <w:div w:id="517013601">
                                                  <w:marLeft w:val="0"/>
                                                  <w:marRight w:val="0"/>
                                                  <w:marTop w:val="0"/>
                                                  <w:marBottom w:val="0"/>
                                                  <w:divBdr>
                                                    <w:top w:val="none" w:sz="0" w:space="0" w:color="auto"/>
                                                    <w:left w:val="none" w:sz="0" w:space="0" w:color="auto"/>
                                                    <w:bottom w:val="none" w:sz="0" w:space="0" w:color="auto"/>
                                                    <w:right w:val="none" w:sz="0" w:space="0" w:color="auto"/>
                                                  </w:divBdr>
                                                  <w:divsChild>
                                                    <w:div w:id="3201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361089">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1210853">
      <w:bodyDiv w:val="1"/>
      <w:marLeft w:val="0"/>
      <w:marRight w:val="0"/>
      <w:marTop w:val="0"/>
      <w:marBottom w:val="0"/>
      <w:divBdr>
        <w:top w:val="none" w:sz="0" w:space="0" w:color="auto"/>
        <w:left w:val="none" w:sz="0" w:space="0" w:color="auto"/>
        <w:bottom w:val="none" w:sz="0" w:space="0" w:color="auto"/>
        <w:right w:val="none" w:sz="0" w:space="0" w:color="auto"/>
      </w:divBdr>
      <w:divsChild>
        <w:div w:id="1928075926">
          <w:marLeft w:val="0"/>
          <w:marRight w:val="0"/>
          <w:marTop w:val="0"/>
          <w:marBottom w:val="0"/>
          <w:divBdr>
            <w:top w:val="none" w:sz="0" w:space="0" w:color="auto"/>
            <w:left w:val="none" w:sz="0" w:space="0" w:color="auto"/>
            <w:bottom w:val="none" w:sz="0" w:space="0" w:color="auto"/>
            <w:right w:val="none" w:sz="0" w:space="0" w:color="auto"/>
          </w:divBdr>
          <w:divsChild>
            <w:div w:id="2053379613">
              <w:marLeft w:val="0"/>
              <w:marRight w:val="0"/>
              <w:marTop w:val="0"/>
              <w:marBottom w:val="0"/>
              <w:divBdr>
                <w:top w:val="none" w:sz="0" w:space="0" w:color="auto"/>
                <w:left w:val="none" w:sz="0" w:space="0" w:color="auto"/>
                <w:bottom w:val="none" w:sz="0" w:space="0" w:color="auto"/>
                <w:right w:val="none" w:sz="0" w:space="0" w:color="auto"/>
              </w:divBdr>
              <w:divsChild>
                <w:div w:id="85619500">
                  <w:marLeft w:val="0"/>
                  <w:marRight w:val="0"/>
                  <w:marTop w:val="0"/>
                  <w:marBottom w:val="0"/>
                  <w:divBdr>
                    <w:top w:val="none" w:sz="0" w:space="0" w:color="auto"/>
                    <w:left w:val="none" w:sz="0" w:space="0" w:color="auto"/>
                    <w:bottom w:val="none" w:sz="0" w:space="0" w:color="auto"/>
                    <w:right w:val="none" w:sz="0" w:space="0" w:color="auto"/>
                  </w:divBdr>
                  <w:divsChild>
                    <w:div w:id="747769714">
                      <w:marLeft w:val="0"/>
                      <w:marRight w:val="0"/>
                      <w:marTop w:val="0"/>
                      <w:marBottom w:val="0"/>
                      <w:divBdr>
                        <w:top w:val="none" w:sz="0" w:space="0" w:color="auto"/>
                        <w:left w:val="none" w:sz="0" w:space="0" w:color="auto"/>
                        <w:bottom w:val="none" w:sz="0" w:space="0" w:color="auto"/>
                        <w:right w:val="none" w:sz="0" w:space="0" w:color="auto"/>
                      </w:divBdr>
                      <w:divsChild>
                        <w:div w:id="638413352">
                          <w:marLeft w:val="0"/>
                          <w:marRight w:val="0"/>
                          <w:marTop w:val="0"/>
                          <w:marBottom w:val="0"/>
                          <w:divBdr>
                            <w:top w:val="none" w:sz="0" w:space="0" w:color="auto"/>
                            <w:left w:val="none" w:sz="0" w:space="0" w:color="auto"/>
                            <w:bottom w:val="none" w:sz="0" w:space="0" w:color="auto"/>
                            <w:right w:val="none" w:sz="0" w:space="0" w:color="auto"/>
                          </w:divBdr>
                          <w:divsChild>
                            <w:div w:id="11235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2065786558">
      <w:bodyDiv w:val="1"/>
      <w:marLeft w:val="0"/>
      <w:marRight w:val="0"/>
      <w:marTop w:val="0"/>
      <w:marBottom w:val="0"/>
      <w:divBdr>
        <w:top w:val="none" w:sz="0" w:space="0" w:color="auto"/>
        <w:left w:val="none" w:sz="0" w:space="0" w:color="auto"/>
        <w:bottom w:val="none" w:sz="0" w:space="0" w:color="auto"/>
        <w:right w:val="none" w:sz="0" w:space="0" w:color="auto"/>
      </w:divBdr>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06263868">
      <w:bodyDiv w:val="1"/>
      <w:marLeft w:val="0"/>
      <w:marRight w:val="0"/>
      <w:marTop w:val="0"/>
      <w:marBottom w:val="0"/>
      <w:divBdr>
        <w:top w:val="none" w:sz="0" w:space="0" w:color="auto"/>
        <w:left w:val="none" w:sz="0" w:space="0" w:color="auto"/>
        <w:bottom w:val="none" w:sz="0" w:space="0" w:color="auto"/>
        <w:right w:val="none" w:sz="0" w:space="0" w:color="auto"/>
      </w:divBdr>
    </w:div>
    <w:div w:id="2125884620">
      <w:bodyDiv w:val="1"/>
      <w:marLeft w:val="0"/>
      <w:marRight w:val="0"/>
      <w:marTop w:val="0"/>
      <w:marBottom w:val="0"/>
      <w:divBdr>
        <w:top w:val="none" w:sz="0" w:space="0" w:color="auto"/>
        <w:left w:val="none" w:sz="0" w:space="0" w:color="auto"/>
        <w:bottom w:val="none" w:sz="0" w:space="0" w:color="auto"/>
        <w:right w:val="none" w:sz="0" w:space="0" w:color="auto"/>
      </w:divBdr>
      <w:divsChild>
        <w:div w:id="320736016">
          <w:marLeft w:val="0"/>
          <w:marRight w:val="0"/>
          <w:marTop w:val="0"/>
          <w:marBottom w:val="0"/>
          <w:divBdr>
            <w:top w:val="none" w:sz="0" w:space="0" w:color="auto"/>
            <w:left w:val="none" w:sz="0" w:space="0" w:color="auto"/>
            <w:bottom w:val="none" w:sz="0" w:space="0" w:color="auto"/>
            <w:right w:val="none" w:sz="0" w:space="0" w:color="auto"/>
          </w:divBdr>
        </w:div>
        <w:div w:id="1152137667">
          <w:marLeft w:val="0"/>
          <w:marRight w:val="0"/>
          <w:marTop w:val="0"/>
          <w:marBottom w:val="0"/>
          <w:divBdr>
            <w:top w:val="none" w:sz="0" w:space="0" w:color="auto"/>
            <w:left w:val="none" w:sz="0" w:space="0" w:color="auto"/>
            <w:bottom w:val="none" w:sz="0" w:space="0" w:color="auto"/>
            <w:right w:val="none" w:sz="0" w:space="0" w:color="auto"/>
          </w:divBdr>
        </w:div>
      </w:divsChild>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dir/2020/284/o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dir/2020/28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E51D5-4378-4DB5-8620-EDA6D49736A2}">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18</Pages>
  <Words>5737</Words>
  <Characters>32705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38366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Hatixhe Demaj</cp:lastModifiedBy>
  <cp:revision>18</cp:revision>
  <cp:lastPrinted>2025-12-13T13:46:00Z</cp:lastPrinted>
  <dcterms:created xsi:type="dcterms:W3CDTF">2026-05-29T11:59:00Z</dcterms:created>
  <dcterms:modified xsi:type="dcterms:W3CDTF">2026-07-10T09:39:00Z</dcterms:modified>
</cp:coreProperties>
</file>