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B0C3F" w14:textId="77777777" w:rsidR="00922FEB" w:rsidRPr="00EE294E" w:rsidRDefault="00922FEB" w:rsidP="00036F88">
      <w:pPr>
        <w:pStyle w:val="BodyText"/>
        <w:jc w:val="center"/>
        <w:rPr>
          <w:rFonts w:ascii="Times New Roman" w:hAnsi="Times New Roman" w:cs="Times New Roman"/>
          <w:sz w:val="20"/>
          <w:szCs w:val="20"/>
          <w:lang w:val="en-US"/>
        </w:rPr>
      </w:pPr>
      <w:r w:rsidRPr="00EE294E">
        <w:rPr>
          <w:rFonts w:ascii="Times New Roman" w:hAnsi="Times New Roman" w:cs="Times New Roman"/>
          <w:sz w:val="20"/>
          <w:szCs w:val="20"/>
          <w:lang w:val="en-US"/>
        </w:rPr>
        <w:t>TABELA E TRANSPONZIMIT</w:t>
      </w:r>
    </w:p>
    <w:p w14:paraId="34DF4CE6" w14:textId="77777777" w:rsidR="00922FEB" w:rsidRPr="00EE294E" w:rsidRDefault="00922FEB" w:rsidP="00036F88">
      <w:pPr>
        <w:spacing w:after="0" w:line="240" w:lineRule="auto"/>
        <w:rPr>
          <w:rFonts w:ascii="Times New Roman" w:eastAsia="Times New Roman" w:hAnsi="Times New Roman" w:cs="Times New Roman"/>
          <w:kern w:val="0"/>
          <w:sz w:val="20"/>
          <w:szCs w:val="20"/>
          <w14:ligatures w14:val="none"/>
        </w:rPr>
      </w:pPr>
    </w:p>
    <w:tbl>
      <w:tblPr>
        <w:tblStyle w:val="TableGrid"/>
        <w:tblW w:w="14754" w:type="dxa"/>
        <w:tblInd w:w="-318" w:type="dxa"/>
        <w:tblLayout w:type="fixed"/>
        <w:tblLook w:val="04A0" w:firstRow="1" w:lastRow="0" w:firstColumn="1" w:lastColumn="0" w:noHBand="0" w:noVBand="1"/>
      </w:tblPr>
      <w:tblGrid>
        <w:gridCol w:w="852"/>
        <w:gridCol w:w="5064"/>
        <w:gridCol w:w="606"/>
        <w:gridCol w:w="850"/>
        <w:gridCol w:w="1843"/>
        <w:gridCol w:w="709"/>
        <w:gridCol w:w="4830"/>
      </w:tblGrid>
      <w:tr w:rsidR="00260632" w:rsidRPr="00EE294E" w14:paraId="61092F5B" w14:textId="77777777" w:rsidTr="003F6C69">
        <w:trPr>
          <w:tblHeader/>
        </w:trPr>
        <w:tc>
          <w:tcPr>
            <w:tcW w:w="5916" w:type="dxa"/>
            <w:gridSpan w:val="2"/>
          </w:tcPr>
          <w:p w14:paraId="24E2DD4F" w14:textId="77777777" w:rsidR="00EE294E" w:rsidRPr="00EE294E" w:rsidRDefault="00EE294E" w:rsidP="00EE294E">
            <w:pPr>
              <w:pBdr>
                <w:top w:val="nil"/>
                <w:left w:val="nil"/>
                <w:bottom w:val="nil"/>
                <w:right w:val="nil"/>
                <w:between w:val="nil"/>
              </w:pBdr>
              <w:spacing w:before="120"/>
              <w:jc w:val="both"/>
              <w:rPr>
                <w:rFonts w:ascii="Times New Roman" w:eastAsia="Times New Roman" w:hAnsi="Times New Roman" w:cs="Times New Roman"/>
                <w:sz w:val="20"/>
                <w:szCs w:val="20"/>
              </w:rPr>
            </w:pPr>
            <w:r w:rsidRPr="00EE294E">
              <w:rPr>
                <w:rFonts w:ascii="Times New Roman" w:hAnsi="Times New Roman" w:cs="Times New Roman"/>
                <w:sz w:val="20"/>
                <w:szCs w:val="20"/>
              </w:rPr>
              <w:t>EU legislation</w:t>
            </w:r>
          </w:p>
          <w:p w14:paraId="002346E6" w14:textId="7B090A73" w:rsidR="008C4514" w:rsidRPr="00EE294E" w:rsidRDefault="008C4514">
            <w:pPr>
              <w:pStyle w:val="ListParagraph"/>
              <w:numPr>
                <w:ilvl w:val="0"/>
                <w:numId w:val="1"/>
              </w:numPr>
              <w:pBdr>
                <w:top w:val="nil"/>
                <w:left w:val="nil"/>
                <w:bottom w:val="nil"/>
                <w:right w:val="nil"/>
                <w:between w:val="nil"/>
              </w:pBdr>
              <w:spacing w:before="120" w:after="0" w:line="240" w:lineRule="auto"/>
              <w:jc w:val="both"/>
              <w:rPr>
                <w:rFonts w:ascii="Times New Roman" w:eastAsia="Times New Roman" w:hAnsi="Times New Roman" w:cs="Times New Roman"/>
                <w:sz w:val="20"/>
                <w:szCs w:val="20"/>
              </w:rPr>
            </w:pPr>
            <w:r w:rsidRPr="00EE294E">
              <w:rPr>
                <w:rFonts w:ascii="Times New Roman" w:hAnsi="Times New Roman" w:cs="Times New Roman"/>
                <w:sz w:val="20"/>
                <w:szCs w:val="20"/>
              </w:rPr>
              <w:t>RREGULLORE E KËSHILLIT (BE) Nr. 904/2010, e 7 tetorit 2010, mbi bashkëpunimin administrativ dhe luftimin e mashtrimit në fushën e tatimit mbi vlerën e shtuar (e riformuluar)</w:t>
            </w:r>
          </w:p>
          <w:p w14:paraId="64638E04" w14:textId="77777777" w:rsidR="008C4514" w:rsidRPr="00EE294E" w:rsidRDefault="008C4514">
            <w:pPr>
              <w:pStyle w:val="ListParagraph"/>
              <w:numPr>
                <w:ilvl w:val="0"/>
                <w:numId w:val="1"/>
              </w:numPr>
              <w:pBdr>
                <w:top w:val="nil"/>
                <w:left w:val="nil"/>
                <w:bottom w:val="nil"/>
                <w:right w:val="nil"/>
                <w:between w:val="nil"/>
              </w:pBdr>
              <w:spacing w:before="120" w:after="0" w:line="240" w:lineRule="auto"/>
              <w:jc w:val="both"/>
              <w:rPr>
                <w:rFonts w:ascii="Times New Roman" w:eastAsia="Times New Roman" w:hAnsi="Times New Roman" w:cs="Times New Roman"/>
                <w:sz w:val="20"/>
                <w:szCs w:val="20"/>
              </w:rPr>
            </w:pPr>
            <w:r w:rsidRPr="00EE294E">
              <w:rPr>
                <w:rFonts w:ascii="Times New Roman" w:hAnsi="Times New Roman" w:cs="Times New Roman"/>
                <w:color w:val="333333"/>
                <w:sz w:val="20"/>
                <w:szCs w:val="20"/>
                <w:shd w:val="clear" w:color="auto" w:fill="FFFFFF"/>
              </w:rPr>
              <w:t xml:space="preserve">Direktiva e Këshillit (BE) 2020/284 e datës 18 shkurt 2020 që ndryshon Direktivën 2006/112/KE në lidhje me futjen e kërkesave të caktuara për ofruesit e shërbimeve të pagesave </w:t>
            </w:r>
            <w:r w:rsidRPr="00EE294E">
              <w:rPr>
                <w:rFonts w:ascii="Times New Roman" w:eastAsia="Times New Roman" w:hAnsi="Times New Roman" w:cs="Times New Roman"/>
                <w:sz w:val="20"/>
                <w:szCs w:val="20"/>
              </w:rPr>
              <w:t>.</w:t>
            </w:r>
          </w:p>
          <w:p w14:paraId="4FFDA4AB" w14:textId="32BB70D0" w:rsidR="004F7895" w:rsidRPr="00EE294E" w:rsidRDefault="004F7895" w:rsidP="007022FA">
            <w:pPr>
              <w:pStyle w:val="ListParagraph"/>
              <w:pBdr>
                <w:top w:val="nil"/>
                <w:left w:val="nil"/>
                <w:bottom w:val="nil"/>
                <w:right w:val="nil"/>
                <w:between w:val="nil"/>
              </w:pBdr>
              <w:spacing w:before="120" w:after="0" w:line="240" w:lineRule="auto"/>
              <w:jc w:val="both"/>
              <w:rPr>
                <w:rFonts w:ascii="Times New Roman" w:eastAsia="Times New Roman" w:hAnsi="Times New Roman" w:cs="Times New Roman"/>
                <w:sz w:val="20"/>
                <w:szCs w:val="20"/>
              </w:rPr>
            </w:pPr>
          </w:p>
          <w:p w14:paraId="179F0EF3" w14:textId="42DBA1CB" w:rsidR="0067247A" w:rsidRPr="00EE294E" w:rsidRDefault="0067247A">
            <w:pPr>
              <w:pStyle w:val="ListParagraph"/>
              <w:numPr>
                <w:ilvl w:val="0"/>
                <w:numId w:val="1"/>
              </w:numPr>
              <w:pBdr>
                <w:top w:val="nil"/>
                <w:left w:val="nil"/>
                <w:bottom w:val="nil"/>
                <w:right w:val="nil"/>
                <w:between w:val="nil"/>
              </w:pBdr>
              <w:spacing w:before="120" w:after="0" w:line="240" w:lineRule="auto"/>
              <w:jc w:val="both"/>
              <w:rPr>
                <w:rFonts w:ascii="Times New Roman" w:eastAsia="Times New Roman" w:hAnsi="Times New Roman" w:cs="Times New Roman"/>
                <w:sz w:val="20"/>
                <w:szCs w:val="20"/>
              </w:rPr>
            </w:pPr>
            <w:r w:rsidRPr="00EE294E">
              <w:rPr>
                <w:rFonts w:ascii="Times New Roman" w:eastAsia="Times New Roman" w:hAnsi="Times New Roman" w:cs="Times New Roman"/>
                <w:sz w:val="20"/>
                <w:szCs w:val="20"/>
              </w:rPr>
              <w:t>Rregullorja Zbatuese e Komisionit (BE) 2022/1504 e 6 prillit 2022 që përcakton rregulla të hollësishme për zbatimin e Rregullores së Këshillit (BE) nr. 904/2010 në lidhje me krijimin e një sistemi qendror elektronik të informacionit të pagesave (CESOP) për të luftuar mashtrimin me TVSH-në</w:t>
            </w:r>
          </w:p>
          <w:p w14:paraId="7595DA82" w14:textId="74CA38A7" w:rsidR="009D0B38" w:rsidRPr="00EE294E" w:rsidRDefault="009D0B38" w:rsidP="00036F88">
            <w:pPr>
              <w:jc w:val="both"/>
              <w:rPr>
                <w:rFonts w:ascii="Times New Roman" w:eastAsia="Calibri" w:hAnsi="Times New Roman" w:cs="Times New Roman"/>
                <w:sz w:val="20"/>
                <w:szCs w:val="20"/>
              </w:rPr>
            </w:pPr>
          </w:p>
        </w:tc>
        <w:tc>
          <w:tcPr>
            <w:tcW w:w="8838" w:type="dxa"/>
            <w:gridSpan w:val="5"/>
            <w:vAlign w:val="center"/>
          </w:tcPr>
          <w:p w14:paraId="10ECADF5" w14:textId="77777777" w:rsidR="00922FEB" w:rsidRPr="00EE294E" w:rsidRDefault="00922FEB" w:rsidP="00036F88">
            <w:pPr>
              <w:jc w:val="both"/>
              <w:rPr>
                <w:rFonts w:ascii="Times New Roman" w:eastAsia="Calibri" w:hAnsi="Times New Roman" w:cs="Times New Roman"/>
                <w:sz w:val="20"/>
                <w:szCs w:val="20"/>
              </w:rPr>
            </w:pPr>
            <w:r w:rsidRPr="00EE294E">
              <w:rPr>
                <w:rFonts w:ascii="Times New Roman" w:eastAsia="Calibri" w:hAnsi="Times New Roman" w:cs="Times New Roman"/>
                <w:sz w:val="20"/>
                <w:szCs w:val="20"/>
              </w:rPr>
              <w:t>Legjislacioni shqiptar:</w:t>
            </w:r>
          </w:p>
          <w:p w14:paraId="6FF890AD" w14:textId="2AF84196" w:rsidR="004F7895" w:rsidRPr="00EE294E" w:rsidRDefault="0077636B">
            <w:pPr>
              <w:pStyle w:val="ListParagraph"/>
              <w:numPr>
                <w:ilvl w:val="0"/>
                <w:numId w:val="4"/>
              </w:numPr>
              <w:spacing w:after="0" w:line="240" w:lineRule="auto"/>
              <w:jc w:val="both"/>
              <w:rPr>
                <w:rFonts w:ascii="Times New Roman" w:eastAsia="Calibri" w:hAnsi="Times New Roman" w:cs="Times New Roman"/>
                <w:sz w:val="20"/>
                <w:szCs w:val="20"/>
              </w:rPr>
            </w:pPr>
            <w:r w:rsidRPr="00EE294E">
              <w:rPr>
                <w:rFonts w:ascii="Times New Roman" w:eastAsia="Times New Roman" w:hAnsi="Times New Roman" w:cs="Times New Roman"/>
                <w:sz w:val="20"/>
                <w:szCs w:val="20"/>
              </w:rPr>
              <w:t xml:space="preserve">Projektligji nr._____, datë __.__.2026 "Për </w:t>
            </w:r>
            <w:r w:rsidR="008C4514" w:rsidRPr="00EE294E">
              <w:rPr>
                <w:rFonts w:ascii="Times New Roman" w:hAnsi="Times New Roman" w:cs="Times New Roman"/>
                <w:sz w:val="20"/>
                <w:szCs w:val="20"/>
              </w:rPr>
              <w:t>Raportimin e pagesave ndërkufitare dhe krijimin dhe funksionimin e sistemit elektronik të informacionit për këto pagesa."</w:t>
            </w:r>
          </w:p>
          <w:p w14:paraId="775762F8" w14:textId="77777777" w:rsidR="00EE294E" w:rsidRDefault="00EE294E" w:rsidP="00036F88">
            <w:pPr>
              <w:jc w:val="both"/>
              <w:rPr>
                <w:rFonts w:ascii="Times New Roman" w:hAnsi="Times New Roman" w:cs="Times New Roman"/>
                <w:sz w:val="20"/>
                <w:szCs w:val="20"/>
                <w:lang w:val="it-CH"/>
              </w:rPr>
            </w:pPr>
          </w:p>
          <w:p w14:paraId="3102C9DB" w14:textId="780F204F" w:rsidR="001D652C" w:rsidRPr="00EE294E" w:rsidRDefault="001D652C" w:rsidP="00036F88">
            <w:pPr>
              <w:jc w:val="both"/>
              <w:rPr>
                <w:rFonts w:ascii="Times New Roman" w:hAnsi="Times New Roman" w:cs="Times New Roman"/>
                <w:sz w:val="20"/>
                <w:szCs w:val="20"/>
                <w:lang w:val="it-CH"/>
              </w:rPr>
            </w:pPr>
            <w:r w:rsidRPr="00EE294E">
              <w:rPr>
                <w:rFonts w:ascii="Times New Roman" w:hAnsi="Times New Roman" w:cs="Times New Roman"/>
                <w:sz w:val="20"/>
                <w:szCs w:val="20"/>
                <w:lang w:val="it-CH"/>
              </w:rPr>
              <w:t>Shkalla e përgjithshme e përafrimit me legjislacionin kombëtar:</w:t>
            </w:r>
          </w:p>
          <w:p w14:paraId="717A334E" w14:textId="77777777" w:rsidR="00EE294E" w:rsidRDefault="00EE294E" w:rsidP="00EE294E">
            <w:pPr>
              <w:jc w:val="both"/>
              <w:rPr>
                <w:rFonts w:ascii="Times New Roman" w:hAnsi="Times New Roman" w:cs="Times New Roman"/>
                <w:sz w:val="20"/>
                <w:szCs w:val="20"/>
              </w:rPr>
            </w:pPr>
          </w:p>
          <w:p w14:paraId="5306AA67" w14:textId="0B6D0C36" w:rsidR="001D652C" w:rsidRPr="00EE294E" w:rsidRDefault="001D652C" w:rsidP="00EE294E">
            <w:pPr>
              <w:jc w:val="both"/>
              <w:rPr>
                <w:rFonts w:ascii="Times New Roman" w:hAnsi="Times New Roman" w:cs="Times New Roman"/>
                <w:sz w:val="20"/>
                <w:szCs w:val="20"/>
              </w:rPr>
            </w:pPr>
            <w:r w:rsidRPr="00EE294E">
              <w:rPr>
                <w:rFonts w:ascii="Times New Roman" w:hAnsi="Times New Roman" w:cs="Times New Roman"/>
                <w:sz w:val="20"/>
                <w:szCs w:val="20"/>
              </w:rPr>
              <w:t>F - pajtueshmëri e plotë</w:t>
            </w:r>
          </w:p>
          <w:p w14:paraId="41C41513" w14:textId="77777777" w:rsidR="001D652C" w:rsidRPr="00EE294E" w:rsidRDefault="001D652C" w:rsidP="00036F88">
            <w:pPr>
              <w:jc w:val="both"/>
              <w:rPr>
                <w:rFonts w:ascii="Times New Roman" w:hAnsi="Times New Roman" w:cs="Times New Roman"/>
                <w:sz w:val="20"/>
                <w:szCs w:val="20"/>
              </w:rPr>
            </w:pPr>
            <w:r w:rsidRPr="00EE294E">
              <w:rPr>
                <w:rFonts w:ascii="Times New Roman" w:hAnsi="Times New Roman" w:cs="Times New Roman"/>
                <w:sz w:val="20"/>
                <w:szCs w:val="20"/>
              </w:rPr>
              <w:t>P - pajtueshmëri e pjesshme</w:t>
            </w:r>
          </w:p>
          <w:p w14:paraId="289EB650" w14:textId="14CE508D" w:rsidR="00922FEB" w:rsidRPr="00EE294E" w:rsidRDefault="001D652C" w:rsidP="00036F88">
            <w:pPr>
              <w:jc w:val="both"/>
              <w:rPr>
                <w:rFonts w:ascii="Times New Roman" w:eastAsia="Calibri" w:hAnsi="Times New Roman" w:cs="Times New Roman"/>
                <w:sz w:val="20"/>
                <w:szCs w:val="20"/>
              </w:rPr>
            </w:pPr>
            <w:r w:rsidRPr="00EE294E">
              <w:rPr>
                <w:rFonts w:ascii="Times New Roman" w:hAnsi="Times New Roman" w:cs="Times New Roman"/>
                <w:sz w:val="20"/>
                <w:szCs w:val="20"/>
              </w:rPr>
              <w:t>N - mosrespektim</w:t>
            </w:r>
          </w:p>
          <w:p w14:paraId="6BC4DEF2" w14:textId="77777777" w:rsidR="00922FEB" w:rsidRPr="00EE294E" w:rsidRDefault="00922FEB" w:rsidP="00036F88">
            <w:pPr>
              <w:rPr>
                <w:rFonts w:ascii="Times New Roman" w:eastAsia="Calibri" w:hAnsi="Times New Roman" w:cs="Times New Roman"/>
                <w:sz w:val="20"/>
                <w:szCs w:val="20"/>
              </w:rPr>
            </w:pPr>
          </w:p>
          <w:p w14:paraId="7AA9D97B" w14:textId="77777777" w:rsidR="00922FEB" w:rsidRPr="00EE294E" w:rsidRDefault="00922FEB" w:rsidP="00036F88">
            <w:pPr>
              <w:rPr>
                <w:rFonts w:ascii="Times New Roman" w:eastAsia="Calibri" w:hAnsi="Times New Roman" w:cs="Times New Roman"/>
                <w:sz w:val="20"/>
                <w:szCs w:val="20"/>
              </w:rPr>
            </w:pPr>
            <w:r w:rsidRPr="00EE294E">
              <w:rPr>
                <w:rFonts w:ascii="Times New Roman" w:eastAsia="Calibri" w:hAnsi="Times New Roman" w:cs="Times New Roman"/>
                <w:sz w:val="20"/>
                <w:szCs w:val="20"/>
              </w:rPr>
              <w:t xml:space="preserve"> </w:t>
            </w:r>
          </w:p>
        </w:tc>
      </w:tr>
      <w:tr w:rsidR="00260632" w:rsidRPr="00EE294E" w14:paraId="01827783" w14:textId="77777777" w:rsidTr="0042577F">
        <w:trPr>
          <w:tblHeader/>
        </w:trPr>
        <w:tc>
          <w:tcPr>
            <w:tcW w:w="852" w:type="dxa"/>
            <w:shd w:val="clear" w:color="auto" w:fill="BFBFBF"/>
          </w:tcPr>
          <w:p w14:paraId="52A84D2B" w14:textId="721D3075" w:rsidR="004F619A" w:rsidRPr="00EE294E" w:rsidRDefault="004F619A" w:rsidP="00036F88">
            <w:pPr>
              <w:jc w:val="center"/>
              <w:rPr>
                <w:rFonts w:ascii="Times New Roman" w:eastAsia="Times New Roman" w:hAnsi="Times New Roman" w:cs="Times New Roman"/>
                <w:sz w:val="20"/>
                <w:szCs w:val="20"/>
              </w:rPr>
            </w:pPr>
            <w:r w:rsidRPr="00EE294E">
              <w:rPr>
                <w:rFonts w:ascii="Times New Roman" w:hAnsi="Times New Roman" w:cs="Times New Roman"/>
                <w:sz w:val="20"/>
                <w:szCs w:val="20"/>
              </w:rPr>
              <w:t>1</w:t>
            </w:r>
          </w:p>
        </w:tc>
        <w:tc>
          <w:tcPr>
            <w:tcW w:w="5064" w:type="dxa"/>
            <w:shd w:val="clear" w:color="auto" w:fill="BFBFBF"/>
          </w:tcPr>
          <w:p w14:paraId="1DA553D3" w14:textId="64D8F57B" w:rsidR="004F619A" w:rsidRPr="00EE294E" w:rsidRDefault="004F619A" w:rsidP="00036F88">
            <w:pPr>
              <w:jc w:val="center"/>
              <w:rPr>
                <w:rFonts w:ascii="Times New Roman" w:eastAsia="Times New Roman" w:hAnsi="Times New Roman" w:cs="Times New Roman"/>
                <w:i/>
                <w:sz w:val="20"/>
                <w:szCs w:val="20"/>
              </w:rPr>
            </w:pPr>
            <w:r w:rsidRPr="00EE294E">
              <w:rPr>
                <w:rFonts w:ascii="Times New Roman" w:hAnsi="Times New Roman" w:cs="Times New Roman"/>
                <w:sz w:val="20"/>
                <w:szCs w:val="20"/>
              </w:rPr>
              <w:t>2</w:t>
            </w:r>
          </w:p>
        </w:tc>
        <w:tc>
          <w:tcPr>
            <w:tcW w:w="606" w:type="dxa"/>
            <w:shd w:val="clear" w:color="auto" w:fill="BFBFBF"/>
          </w:tcPr>
          <w:p w14:paraId="6A8D7A06" w14:textId="724E6EFC" w:rsidR="004F619A" w:rsidRPr="00EE294E" w:rsidRDefault="004F619A" w:rsidP="00036F88">
            <w:pPr>
              <w:jc w:val="center"/>
              <w:rPr>
                <w:rFonts w:ascii="Times New Roman" w:eastAsia="Times New Roman" w:hAnsi="Times New Roman" w:cs="Times New Roman"/>
                <w:i/>
                <w:sz w:val="20"/>
                <w:szCs w:val="20"/>
              </w:rPr>
            </w:pPr>
            <w:r w:rsidRPr="00EE294E">
              <w:rPr>
                <w:rFonts w:ascii="Times New Roman" w:hAnsi="Times New Roman" w:cs="Times New Roman"/>
                <w:sz w:val="20"/>
                <w:szCs w:val="20"/>
              </w:rPr>
              <w:t>3</w:t>
            </w:r>
          </w:p>
        </w:tc>
        <w:tc>
          <w:tcPr>
            <w:tcW w:w="850" w:type="dxa"/>
            <w:shd w:val="clear" w:color="auto" w:fill="BFBFBF"/>
          </w:tcPr>
          <w:p w14:paraId="508F371C" w14:textId="4604AAB0" w:rsidR="004F619A" w:rsidRPr="00EE294E" w:rsidRDefault="004F619A" w:rsidP="00036F88">
            <w:pPr>
              <w:jc w:val="center"/>
              <w:rPr>
                <w:rFonts w:ascii="Times New Roman" w:eastAsia="Times New Roman" w:hAnsi="Times New Roman" w:cs="Times New Roman"/>
                <w:i/>
                <w:sz w:val="20"/>
                <w:szCs w:val="20"/>
              </w:rPr>
            </w:pPr>
            <w:r w:rsidRPr="00EE294E">
              <w:rPr>
                <w:rFonts w:ascii="Times New Roman" w:hAnsi="Times New Roman" w:cs="Times New Roman"/>
                <w:sz w:val="20"/>
                <w:szCs w:val="20"/>
              </w:rPr>
              <w:t>4</w:t>
            </w:r>
          </w:p>
        </w:tc>
        <w:tc>
          <w:tcPr>
            <w:tcW w:w="1843" w:type="dxa"/>
            <w:shd w:val="clear" w:color="auto" w:fill="BFBFBF"/>
          </w:tcPr>
          <w:p w14:paraId="2141FB79" w14:textId="3C150691" w:rsidR="004F619A" w:rsidRPr="00EE294E" w:rsidRDefault="004F619A" w:rsidP="00036F88">
            <w:pPr>
              <w:jc w:val="center"/>
              <w:rPr>
                <w:rFonts w:ascii="Times New Roman" w:eastAsia="Times New Roman" w:hAnsi="Times New Roman" w:cs="Times New Roman"/>
                <w:i/>
                <w:sz w:val="20"/>
                <w:szCs w:val="20"/>
              </w:rPr>
            </w:pPr>
            <w:r w:rsidRPr="00EE294E">
              <w:rPr>
                <w:rFonts w:ascii="Times New Roman" w:hAnsi="Times New Roman" w:cs="Times New Roman"/>
                <w:sz w:val="20"/>
                <w:szCs w:val="20"/>
              </w:rPr>
              <w:t>5</w:t>
            </w:r>
          </w:p>
        </w:tc>
        <w:tc>
          <w:tcPr>
            <w:tcW w:w="709" w:type="dxa"/>
            <w:shd w:val="clear" w:color="auto" w:fill="BFBFBF"/>
          </w:tcPr>
          <w:p w14:paraId="7B5923AD" w14:textId="0DA9C058" w:rsidR="004F619A" w:rsidRPr="00EE294E" w:rsidRDefault="004F619A" w:rsidP="00036F88">
            <w:pPr>
              <w:jc w:val="center"/>
              <w:rPr>
                <w:rFonts w:ascii="Times New Roman" w:eastAsia="Times New Roman" w:hAnsi="Times New Roman" w:cs="Times New Roman"/>
                <w:i/>
                <w:sz w:val="20"/>
                <w:szCs w:val="20"/>
              </w:rPr>
            </w:pPr>
            <w:r w:rsidRPr="00EE294E">
              <w:rPr>
                <w:rFonts w:ascii="Times New Roman" w:hAnsi="Times New Roman" w:cs="Times New Roman"/>
                <w:sz w:val="20"/>
                <w:szCs w:val="20"/>
              </w:rPr>
              <w:t>6</w:t>
            </w:r>
          </w:p>
        </w:tc>
        <w:tc>
          <w:tcPr>
            <w:tcW w:w="4830" w:type="dxa"/>
            <w:shd w:val="clear" w:color="auto" w:fill="BFBFBF"/>
          </w:tcPr>
          <w:p w14:paraId="25BA9212" w14:textId="4444B760" w:rsidR="004F619A" w:rsidRPr="00EE294E" w:rsidRDefault="004F619A" w:rsidP="00036F88">
            <w:pPr>
              <w:jc w:val="center"/>
              <w:rPr>
                <w:rFonts w:ascii="Times New Roman" w:eastAsia="Times New Roman" w:hAnsi="Times New Roman" w:cs="Times New Roman"/>
                <w:i/>
                <w:sz w:val="20"/>
                <w:szCs w:val="20"/>
              </w:rPr>
            </w:pPr>
            <w:r w:rsidRPr="00EE294E">
              <w:rPr>
                <w:rFonts w:ascii="Times New Roman" w:hAnsi="Times New Roman" w:cs="Times New Roman"/>
                <w:sz w:val="20"/>
                <w:szCs w:val="20"/>
              </w:rPr>
              <w:t>7</w:t>
            </w:r>
          </w:p>
        </w:tc>
      </w:tr>
      <w:tr w:rsidR="00260632" w:rsidRPr="00EE294E" w14:paraId="405531F1" w14:textId="77777777" w:rsidTr="00922FEB">
        <w:trPr>
          <w:tblHeader/>
        </w:trPr>
        <w:tc>
          <w:tcPr>
            <w:tcW w:w="852" w:type="dxa"/>
            <w:shd w:val="clear" w:color="auto" w:fill="BFBFBF"/>
            <w:vAlign w:val="center"/>
          </w:tcPr>
          <w:p w14:paraId="1E9FDE14" w14:textId="57B3E5AA" w:rsidR="004F619A" w:rsidRPr="00EE294E" w:rsidRDefault="007C6B72" w:rsidP="00036F88">
            <w:pPr>
              <w:jc w:val="center"/>
              <w:rPr>
                <w:rFonts w:ascii="Times New Roman" w:eastAsia="Times New Roman" w:hAnsi="Times New Roman" w:cs="Times New Roman"/>
                <w:sz w:val="20"/>
                <w:szCs w:val="20"/>
                <w:lang w:val="en-US"/>
              </w:rPr>
            </w:pPr>
            <w:r w:rsidRPr="00EE294E">
              <w:rPr>
                <w:rFonts w:ascii="Times New Roman" w:eastAsia="Times New Roman" w:hAnsi="Times New Roman" w:cs="Times New Roman"/>
                <w:sz w:val="20"/>
                <w:szCs w:val="20"/>
                <w:lang w:val="en-US"/>
              </w:rPr>
              <w:t>Neni</w:t>
            </w:r>
          </w:p>
        </w:tc>
        <w:tc>
          <w:tcPr>
            <w:tcW w:w="5064" w:type="dxa"/>
            <w:shd w:val="clear" w:color="auto" w:fill="BFBFBF"/>
            <w:vAlign w:val="center"/>
          </w:tcPr>
          <w:p w14:paraId="76176853" w14:textId="14CC3977" w:rsidR="004F619A" w:rsidRPr="00EE294E" w:rsidRDefault="004F619A" w:rsidP="00036F88">
            <w:pPr>
              <w:jc w:val="center"/>
              <w:rPr>
                <w:rFonts w:ascii="Times New Roman" w:eastAsia="Times New Roman" w:hAnsi="Times New Roman" w:cs="Times New Roman"/>
                <w:i/>
                <w:sz w:val="20"/>
                <w:szCs w:val="20"/>
                <w:lang w:val="en-US"/>
              </w:rPr>
            </w:pPr>
            <w:proofErr w:type="spellStart"/>
            <w:r w:rsidRPr="00EE294E">
              <w:rPr>
                <w:rFonts w:ascii="Times New Roman" w:eastAsia="Times New Roman" w:hAnsi="Times New Roman" w:cs="Times New Roman"/>
                <w:i/>
                <w:sz w:val="20"/>
                <w:szCs w:val="20"/>
                <w:lang w:val="en-US"/>
              </w:rPr>
              <w:t>Tekst</w:t>
            </w:r>
            <w:r w:rsidR="00CF2539" w:rsidRPr="00EE294E">
              <w:rPr>
                <w:rFonts w:ascii="Times New Roman" w:eastAsia="Times New Roman" w:hAnsi="Times New Roman" w:cs="Times New Roman"/>
                <w:i/>
                <w:sz w:val="20"/>
                <w:szCs w:val="20"/>
                <w:lang w:val="en-US"/>
              </w:rPr>
              <w:t>i</w:t>
            </w:r>
            <w:proofErr w:type="spellEnd"/>
          </w:p>
        </w:tc>
        <w:tc>
          <w:tcPr>
            <w:tcW w:w="606" w:type="dxa"/>
            <w:shd w:val="clear" w:color="auto" w:fill="BFBFBF"/>
            <w:vAlign w:val="center"/>
          </w:tcPr>
          <w:p w14:paraId="7B0A27CB" w14:textId="2B7E953C" w:rsidR="004F619A" w:rsidRPr="00EE294E" w:rsidRDefault="004F619A" w:rsidP="00036F88">
            <w:pPr>
              <w:jc w:val="center"/>
              <w:rPr>
                <w:rFonts w:ascii="Times New Roman" w:eastAsia="Times New Roman" w:hAnsi="Times New Roman" w:cs="Times New Roman"/>
                <w:i/>
                <w:sz w:val="20"/>
                <w:szCs w:val="20"/>
                <w:lang w:val="en-US"/>
              </w:rPr>
            </w:pPr>
            <w:proofErr w:type="spellStart"/>
            <w:r w:rsidRPr="00EE294E">
              <w:rPr>
                <w:rFonts w:ascii="Times New Roman" w:eastAsia="Times New Roman" w:hAnsi="Times New Roman" w:cs="Times New Roman"/>
                <w:i/>
                <w:sz w:val="20"/>
                <w:szCs w:val="20"/>
                <w:lang w:val="en-US"/>
              </w:rPr>
              <w:t>Referenc</w:t>
            </w:r>
            <w:r w:rsidR="007C6B72" w:rsidRPr="00EE294E">
              <w:rPr>
                <w:rFonts w:ascii="Times New Roman" w:eastAsia="Times New Roman" w:hAnsi="Times New Roman" w:cs="Times New Roman"/>
                <w:i/>
                <w:sz w:val="20"/>
                <w:szCs w:val="20"/>
                <w:lang w:val="en-US"/>
              </w:rPr>
              <w:t>a</w:t>
            </w:r>
            <w:proofErr w:type="spellEnd"/>
          </w:p>
        </w:tc>
        <w:tc>
          <w:tcPr>
            <w:tcW w:w="850" w:type="dxa"/>
            <w:shd w:val="clear" w:color="auto" w:fill="BFBFBF"/>
            <w:vAlign w:val="center"/>
          </w:tcPr>
          <w:p w14:paraId="4FA58976" w14:textId="322FD68B" w:rsidR="004F619A" w:rsidRPr="00EE294E" w:rsidRDefault="007C6B72" w:rsidP="00036F88">
            <w:pPr>
              <w:jc w:val="center"/>
              <w:rPr>
                <w:rFonts w:ascii="Times New Roman" w:eastAsia="Times New Roman" w:hAnsi="Times New Roman" w:cs="Times New Roman"/>
                <w:i/>
                <w:sz w:val="20"/>
                <w:szCs w:val="20"/>
                <w:lang w:val="en-US"/>
              </w:rPr>
            </w:pPr>
            <w:r w:rsidRPr="00EE294E">
              <w:rPr>
                <w:rFonts w:ascii="Times New Roman" w:eastAsia="Times New Roman" w:hAnsi="Times New Roman" w:cs="Times New Roman"/>
                <w:i/>
                <w:sz w:val="20"/>
                <w:szCs w:val="20"/>
                <w:lang w:val="en-US"/>
              </w:rPr>
              <w:t>Neni</w:t>
            </w:r>
          </w:p>
        </w:tc>
        <w:tc>
          <w:tcPr>
            <w:tcW w:w="1843" w:type="dxa"/>
            <w:shd w:val="clear" w:color="auto" w:fill="BFBFBF"/>
            <w:vAlign w:val="center"/>
          </w:tcPr>
          <w:p w14:paraId="1C97514E" w14:textId="15ECFC49" w:rsidR="004F619A" w:rsidRPr="00EE294E" w:rsidRDefault="004F619A" w:rsidP="00036F88">
            <w:pPr>
              <w:jc w:val="center"/>
              <w:rPr>
                <w:rFonts w:ascii="Times New Roman" w:eastAsia="Times New Roman" w:hAnsi="Times New Roman" w:cs="Times New Roman"/>
                <w:i/>
                <w:sz w:val="20"/>
                <w:szCs w:val="20"/>
                <w:lang w:val="en-US"/>
              </w:rPr>
            </w:pPr>
            <w:proofErr w:type="spellStart"/>
            <w:r w:rsidRPr="00EE294E">
              <w:rPr>
                <w:rFonts w:ascii="Times New Roman" w:eastAsia="Times New Roman" w:hAnsi="Times New Roman" w:cs="Times New Roman"/>
                <w:i/>
                <w:sz w:val="20"/>
                <w:szCs w:val="20"/>
                <w:lang w:val="en-US"/>
              </w:rPr>
              <w:t>Tekst</w:t>
            </w:r>
            <w:r w:rsidR="00CF2539" w:rsidRPr="00EE294E">
              <w:rPr>
                <w:rFonts w:ascii="Times New Roman" w:eastAsia="Times New Roman" w:hAnsi="Times New Roman" w:cs="Times New Roman"/>
                <w:i/>
                <w:sz w:val="20"/>
                <w:szCs w:val="20"/>
                <w:lang w:val="en-US"/>
              </w:rPr>
              <w:t>i</w:t>
            </w:r>
            <w:proofErr w:type="spellEnd"/>
          </w:p>
        </w:tc>
        <w:tc>
          <w:tcPr>
            <w:tcW w:w="709" w:type="dxa"/>
            <w:shd w:val="clear" w:color="auto" w:fill="BFBFBF"/>
            <w:vAlign w:val="center"/>
          </w:tcPr>
          <w:p w14:paraId="7416E437" w14:textId="77777777" w:rsidR="004F619A" w:rsidRPr="00EE294E" w:rsidRDefault="004F619A" w:rsidP="00036F88">
            <w:pPr>
              <w:jc w:val="center"/>
              <w:rPr>
                <w:rFonts w:ascii="Times New Roman" w:eastAsia="Times New Roman" w:hAnsi="Times New Roman" w:cs="Times New Roman"/>
                <w:i/>
                <w:sz w:val="20"/>
                <w:szCs w:val="20"/>
                <w:lang w:val="en-US"/>
              </w:rPr>
            </w:pPr>
            <w:proofErr w:type="spellStart"/>
            <w:r w:rsidRPr="00EE294E">
              <w:rPr>
                <w:rFonts w:ascii="Times New Roman" w:eastAsia="Times New Roman" w:hAnsi="Times New Roman" w:cs="Times New Roman"/>
                <w:i/>
                <w:sz w:val="20"/>
                <w:szCs w:val="20"/>
                <w:lang w:val="en-US"/>
              </w:rPr>
              <w:t>Pajtueshmëria</w:t>
            </w:r>
            <w:proofErr w:type="spellEnd"/>
          </w:p>
        </w:tc>
        <w:tc>
          <w:tcPr>
            <w:tcW w:w="4830" w:type="dxa"/>
            <w:shd w:val="clear" w:color="auto" w:fill="BFBFBF"/>
            <w:vAlign w:val="center"/>
          </w:tcPr>
          <w:p w14:paraId="2D3E0BBE" w14:textId="77777777" w:rsidR="004F619A" w:rsidRPr="00EE294E" w:rsidRDefault="004F619A" w:rsidP="00036F88">
            <w:pPr>
              <w:jc w:val="center"/>
              <w:rPr>
                <w:rFonts w:ascii="Times New Roman" w:eastAsia="Times New Roman" w:hAnsi="Times New Roman" w:cs="Times New Roman"/>
                <w:i/>
                <w:sz w:val="20"/>
                <w:szCs w:val="20"/>
                <w:lang w:val="en-US"/>
              </w:rPr>
            </w:pPr>
            <w:proofErr w:type="spellStart"/>
            <w:r w:rsidRPr="00EE294E">
              <w:rPr>
                <w:rFonts w:ascii="Times New Roman" w:eastAsia="Times New Roman" w:hAnsi="Times New Roman" w:cs="Times New Roman"/>
                <w:i/>
                <w:sz w:val="20"/>
                <w:szCs w:val="20"/>
                <w:lang w:val="en-US"/>
              </w:rPr>
              <w:t>Shënime</w:t>
            </w:r>
            <w:proofErr w:type="spellEnd"/>
          </w:p>
        </w:tc>
      </w:tr>
    </w:tbl>
    <w:p w14:paraId="1F69D40D" w14:textId="3855042B" w:rsidR="00922FEB" w:rsidRPr="00EE294E" w:rsidRDefault="00922FEB" w:rsidP="00036F88">
      <w:pPr>
        <w:spacing w:after="200" w:line="240" w:lineRule="auto"/>
        <w:rPr>
          <w:rFonts w:ascii="Times New Roman" w:eastAsia="Calibri" w:hAnsi="Times New Roman" w:cs="Times New Roman"/>
          <w:kern w:val="0"/>
          <w:sz w:val="20"/>
          <w:szCs w:val="20"/>
          <w14:ligatures w14:val="none"/>
        </w:rPr>
      </w:pPr>
    </w:p>
    <w:tbl>
      <w:tblPr>
        <w:tblStyle w:val="TableGrid"/>
        <w:tblW w:w="16304" w:type="dxa"/>
        <w:tblInd w:w="-1085" w:type="dxa"/>
        <w:tblLayout w:type="fixed"/>
        <w:tblLook w:val="04A0" w:firstRow="1" w:lastRow="0" w:firstColumn="1" w:lastColumn="0" w:noHBand="0" w:noVBand="1"/>
      </w:tblPr>
      <w:tblGrid>
        <w:gridCol w:w="540"/>
        <w:gridCol w:w="5400"/>
        <w:gridCol w:w="450"/>
        <w:gridCol w:w="644"/>
        <w:gridCol w:w="5040"/>
        <w:gridCol w:w="720"/>
        <w:gridCol w:w="3510"/>
      </w:tblGrid>
      <w:tr w:rsidR="00260632" w:rsidRPr="00EE294E" w14:paraId="32F4D837" w14:textId="77777777" w:rsidTr="004738EE">
        <w:trPr>
          <w:tblHeader/>
        </w:trPr>
        <w:tc>
          <w:tcPr>
            <w:tcW w:w="540" w:type="dxa"/>
            <w:shd w:val="clear" w:color="auto" w:fill="BFBFBF"/>
          </w:tcPr>
          <w:p w14:paraId="623B109C" w14:textId="4AA779B1" w:rsidR="000A7EA3" w:rsidRPr="00EE294E" w:rsidRDefault="000A7EA3" w:rsidP="00036F88">
            <w:pPr>
              <w:jc w:val="center"/>
              <w:rPr>
                <w:rFonts w:ascii="Times New Roman" w:eastAsia="Times New Roman" w:hAnsi="Times New Roman" w:cs="Times New Roman"/>
                <w:sz w:val="20"/>
                <w:szCs w:val="20"/>
              </w:rPr>
            </w:pPr>
            <w:r w:rsidRPr="00EE294E">
              <w:rPr>
                <w:rFonts w:ascii="Times New Roman" w:hAnsi="Times New Roman" w:cs="Times New Roman"/>
                <w:sz w:val="20"/>
                <w:szCs w:val="20"/>
              </w:rPr>
              <w:t>1</w:t>
            </w:r>
          </w:p>
        </w:tc>
        <w:tc>
          <w:tcPr>
            <w:tcW w:w="5400" w:type="dxa"/>
            <w:shd w:val="clear" w:color="auto" w:fill="BFBFBF"/>
          </w:tcPr>
          <w:p w14:paraId="0EF916BA" w14:textId="15F44D6D" w:rsidR="000A7EA3" w:rsidRPr="00EE294E" w:rsidRDefault="000A7EA3" w:rsidP="00036F88">
            <w:pPr>
              <w:jc w:val="center"/>
              <w:rPr>
                <w:rFonts w:ascii="Times New Roman" w:eastAsia="Times New Roman" w:hAnsi="Times New Roman" w:cs="Times New Roman"/>
                <w:iCs/>
                <w:sz w:val="20"/>
                <w:szCs w:val="20"/>
              </w:rPr>
            </w:pPr>
            <w:r w:rsidRPr="00EE294E">
              <w:rPr>
                <w:rFonts w:ascii="Times New Roman" w:hAnsi="Times New Roman" w:cs="Times New Roman"/>
                <w:sz w:val="20"/>
                <w:szCs w:val="20"/>
              </w:rPr>
              <w:t>2</w:t>
            </w:r>
          </w:p>
        </w:tc>
        <w:tc>
          <w:tcPr>
            <w:tcW w:w="450" w:type="dxa"/>
            <w:shd w:val="clear" w:color="auto" w:fill="D0CECE" w:themeFill="background2" w:themeFillShade="E6"/>
          </w:tcPr>
          <w:p w14:paraId="04E9A02F" w14:textId="584B0512" w:rsidR="000A7EA3" w:rsidRPr="00EE294E" w:rsidRDefault="000A7EA3" w:rsidP="00036F88">
            <w:pPr>
              <w:jc w:val="center"/>
              <w:rPr>
                <w:rFonts w:ascii="Times New Roman" w:hAnsi="Times New Roman" w:cs="Times New Roman"/>
                <w:sz w:val="20"/>
                <w:szCs w:val="20"/>
              </w:rPr>
            </w:pPr>
            <w:r w:rsidRPr="00EE294E">
              <w:rPr>
                <w:rFonts w:ascii="Times New Roman" w:hAnsi="Times New Roman" w:cs="Times New Roman"/>
                <w:sz w:val="20"/>
                <w:szCs w:val="20"/>
              </w:rPr>
              <w:t>3</w:t>
            </w:r>
          </w:p>
        </w:tc>
        <w:tc>
          <w:tcPr>
            <w:tcW w:w="644" w:type="dxa"/>
            <w:shd w:val="clear" w:color="auto" w:fill="BFBFBF"/>
          </w:tcPr>
          <w:p w14:paraId="11B2F0E9" w14:textId="510E5F67" w:rsidR="000A7EA3" w:rsidRPr="00EE294E" w:rsidRDefault="000A7EA3" w:rsidP="00036F88">
            <w:pPr>
              <w:jc w:val="center"/>
              <w:rPr>
                <w:rFonts w:ascii="Times New Roman" w:eastAsia="Times New Roman" w:hAnsi="Times New Roman" w:cs="Times New Roman"/>
                <w:i/>
                <w:sz w:val="20"/>
                <w:szCs w:val="20"/>
              </w:rPr>
            </w:pPr>
            <w:r w:rsidRPr="00EE294E">
              <w:rPr>
                <w:rFonts w:ascii="Times New Roman" w:hAnsi="Times New Roman" w:cs="Times New Roman"/>
                <w:sz w:val="20"/>
                <w:szCs w:val="20"/>
              </w:rPr>
              <w:t>4</w:t>
            </w:r>
          </w:p>
        </w:tc>
        <w:tc>
          <w:tcPr>
            <w:tcW w:w="5040" w:type="dxa"/>
            <w:shd w:val="clear" w:color="auto" w:fill="BFBFBF"/>
          </w:tcPr>
          <w:p w14:paraId="18D0D936" w14:textId="2F6EC06B" w:rsidR="000A7EA3" w:rsidRPr="00EE294E" w:rsidRDefault="000A7EA3" w:rsidP="00036F88">
            <w:pPr>
              <w:jc w:val="center"/>
              <w:rPr>
                <w:rFonts w:ascii="Times New Roman" w:eastAsia="Times New Roman" w:hAnsi="Times New Roman" w:cs="Times New Roman"/>
                <w:i/>
                <w:sz w:val="20"/>
                <w:szCs w:val="20"/>
              </w:rPr>
            </w:pPr>
            <w:r w:rsidRPr="00EE294E">
              <w:rPr>
                <w:rFonts w:ascii="Times New Roman" w:hAnsi="Times New Roman" w:cs="Times New Roman"/>
                <w:sz w:val="20"/>
                <w:szCs w:val="20"/>
              </w:rPr>
              <w:t>5</w:t>
            </w:r>
          </w:p>
        </w:tc>
        <w:tc>
          <w:tcPr>
            <w:tcW w:w="720" w:type="dxa"/>
            <w:shd w:val="clear" w:color="auto" w:fill="BFBFBF"/>
          </w:tcPr>
          <w:p w14:paraId="1F29B9CC" w14:textId="46D8A615" w:rsidR="000A7EA3" w:rsidRPr="00EE294E" w:rsidRDefault="000A7EA3" w:rsidP="00036F88">
            <w:pPr>
              <w:jc w:val="center"/>
              <w:rPr>
                <w:rFonts w:ascii="Times New Roman" w:eastAsia="Times New Roman" w:hAnsi="Times New Roman" w:cs="Times New Roman"/>
                <w:i/>
                <w:sz w:val="20"/>
                <w:szCs w:val="20"/>
              </w:rPr>
            </w:pPr>
            <w:r w:rsidRPr="00EE294E">
              <w:rPr>
                <w:rFonts w:ascii="Times New Roman" w:hAnsi="Times New Roman" w:cs="Times New Roman"/>
                <w:sz w:val="20"/>
                <w:szCs w:val="20"/>
              </w:rPr>
              <w:t>6</w:t>
            </w:r>
          </w:p>
        </w:tc>
        <w:tc>
          <w:tcPr>
            <w:tcW w:w="3510" w:type="dxa"/>
            <w:shd w:val="clear" w:color="auto" w:fill="BFBFBF"/>
          </w:tcPr>
          <w:p w14:paraId="1EC97E09" w14:textId="00684BF9" w:rsidR="000A7EA3" w:rsidRPr="00EE294E" w:rsidRDefault="000A7EA3" w:rsidP="00036F88">
            <w:pPr>
              <w:jc w:val="center"/>
              <w:rPr>
                <w:rFonts w:ascii="Times New Roman" w:eastAsia="Times New Roman" w:hAnsi="Times New Roman" w:cs="Times New Roman"/>
                <w:i/>
                <w:sz w:val="20"/>
                <w:szCs w:val="20"/>
              </w:rPr>
            </w:pPr>
            <w:r w:rsidRPr="00EE294E">
              <w:rPr>
                <w:rFonts w:ascii="Times New Roman" w:hAnsi="Times New Roman" w:cs="Times New Roman"/>
                <w:sz w:val="20"/>
                <w:szCs w:val="20"/>
              </w:rPr>
              <w:t>7</w:t>
            </w:r>
          </w:p>
        </w:tc>
      </w:tr>
      <w:tr w:rsidR="00260632" w:rsidRPr="00EE294E" w14:paraId="33DF4310" w14:textId="77777777" w:rsidTr="004738EE">
        <w:trPr>
          <w:tblHeader/>
        </w:trPr>
        <w:tc>
          <w:tcPr>
            <w:tcW w:w="540" w:type="dxa"/>
            <w:shd w:val="clear" w:color="auto" w:fill="BFBFBF"/>
            <w:vAlign w:val="center"/>
          </w:tcPr>
          <w:p w14:paraId="39F8C6F9" w14:textId="704671BA" w:rsidR="000A7EA3" w:rsidRPr="00EE294E" w:rsidRDefault="007C6B72" w:rsidP="00036F88">
            <w:pPr>
              <w:jc w:val="center"/>
              <w:rPr>
                <w:rFonts w:ascii="Times New Roman" w:eastAsia="Times New Roman" w:hAnsi="Times New Roman" w:cs="Times New Roman"/>
                <w:i/>
                <w:iCs/>
                <w:sz w:val="20"/>
                <w:szCs w:val="20"/>
                <w:lang w:val="en-US"/>
              </w:rPr>
            </w:pPr>
            <w:r w:rsidRPr="00EE294E">
              <w:rPr>
                <w:rFonts w:ascii="Times New Roman" w:eastAsia="Times New Roman" w:hAnsi="Times New Roman" w:cs="Times New Roman"/>
                <w:i/>
                <w:iCs/>
                <w:sz w:val="20"/>
                <w:szCs w:val="20"/>
                <w:lang w:val="en-US"/>
              </w:rPr>
              <w:t>Neni</w:t>
            </w:r>
          </w:p>
        </w:tc>
        <w:tc>
          <w:tcPr>
            <w:tcW w:w="5400" w:type="dxa"/>
            <w:shd w:val="clear" w:color="auto" w:fill="BFBFBF"/>
            <w:vAlign w:val="center"/>
          </w:tcPr>
          <w:p w14:paraId="17F6068A" w14:textId="2239F1C6" w:rsidR="000A7EA3" w:rsidRPr="00EE294E" w:rsidRDefault="000A7EA3" w:rsidP="00036F88">
            <w:pPr>
              <w:jc w:val="center"/>
              <w:rPr>
                <w:rFonts w:ascii="Times New Roman" w:eastAsia="Times New Roman" w:hAnsi="Times New Roman" w:cs="Times New Roman"/>
                <w:i/>
                <w:iCs/>
                <w:sz w:val="20"/>
                <w:szCs w:val="20"/>
                <w:lang w:val="en-US"/>
              </w:rPr>
            </w:pPr>
            <w:proofErr w:type="spellStart"/>
            <w:r w:rsidRPr="00EE294E">
              <w:rPr>
                <w:rFonts w:ascii="Times New Roman" w:eastAsia="Times New Roman" w:hAnsi="Times New Roman" w:cs="Times New Roman"/>
                <w:i/>
                <w:iCs/>
                <w:sz w:val="20"/>
                <w:szCs w:val="20"/>
                <w:lang w:val="en-US"/>
              </w:rPr>
              <w:t>Tekst</w:t>
            </w:r>
            <w:r w:rsidR="007C6B72" w:rsidRPr="00EE294E">
              <w:rPr>
                <w:rFonts w:ascii="Times New Roman" w:eastAsia="Times New Roman" w:hAnsi="Times New Roman" w:cs="Times New Roman"/>
                <w:i/>
                <w:iCs/>
                <w:sz w:val="20"/>
                <w:szCs w:val="20"/>
                <w:lang w:val="en-US"/>
              </w:rPr>
              <w:t>i</w:t>
            </w:r>
            <w:proofErr w:type="spellEnd"/>
          </w:p>
        </w:tc>
        <w:tc>
          <w:tcPr>
            <w:tcW w:w="450" w:type="dxa"/>
            <w:shd w:val="clear" w:color="auto" w:fill="D0CECE" w:themeFill="background2" w:themeFillShade="E6"/>
          </w:tcPr>
          <w:p w14:paraId="476E07DB" w14:textId="5985E79A" w:rsidR="000A7EA3" w:rsidRPr="00EE294E" w:rsidRDefault="000A7EA3" w:rsidP="00036F88">
            <w:pPr>
              <w:jc w:val="center"/>
              <w:rPr>
                <w:rFonts w:ascii="Times New Roman" w:hAnsi="Times New Roman" w:cs="Times New Roman"/>
                <w:i/>
                <w:iCs/>
                <w:sz w:val="20"/>
                <w:szCs w:val="20"/>
              </w:rPr>
            </w:pPr>
            <w:r w:rsidRPr="00EE294E">
              <w:rPr>
                <w:rFonts w:ascii="Times New Roman" w:hAnsi="Times New Roman" w:cs="Times New Roman"/>
                <w:i/>
                <w:iCs/>
                <w:sz w:val="20"/>
                <w:szCs w:val="20"/>
              </w:rPr>
              <w:t>Referenc</w:t>
            </w:r>
            <w:r w:rsidR="007C6B72" w:rsidRPr="00EE294E">
              <w:rPr>
                <w:rFonts w:ascii="Times New Roman" w:hAnsi="Times New Roman" w:cs="Times New Roman"/>
                <w:i/>
                <w:iCs/>
                <w:sz w:val="20"/>
                <w:szCs w:val="20"/>
              </w:rPr>
              <w:t>a</w:t>
            </w:r>
          </w:p>
        </w:tc>
        <w:tc>
          <w:tcPr>
            <w:tcW w:w="644" w:type="dxa"/>
            <w:shd w:val="clear" w:color="auto" w:fill="BFBFBF"/>
            <w:vAlign w:val="center"/>
          </w:tcPr>
          <w:p w14:paraId="5B81B475" w14:textId="0112E2AE" w:rsidR="000A7EA3" w:rsidRPr="00EE294E" w:rsidRDefault="007C6B72" w:rsidP="00036F88">
            <w:pPr>
              <w:jc w:val="center"/>
              <w:rPr>
                <w:rFonts w:ascii="Times New Roman" w:eastAsia="Times New Roman" w:hAnsi="Times New Roman" w:cs="Times New Roman"/>
                <w:i/>
                <w:iCs/>
                <w:sz w:val="20"/>
                <w:szCs w:val="20"/>
                <w:lang w:val="en-US"/>
              </w:rPr>
            </w:pPr>
            <w:r w:rsidRPr="00EE294E">
              <w:rPr>
                <w:rFonts w:ascii="Times New Roman" w:eastAsia="Times New Roman" w:hAnsi="Times New Roman" w:cs="Times New Roman"/>
                <w:i/>
                <w:iCs/>
                <w:sz w:val="20"/>
                <w:szCs w:val="20"/>
                <w:lang w:val="en-US"/>
              </w:rPr>
              <w:t>Neni</w:t>
            </w:r>
          </w:p>
        </w:tc>
        <w:tc>
          <w:tcPr>
            <w:tcW w:w="5040" w:type="dxa"/>
            <w:shd w:val="clear" w:color="auto" w:fill="BFBFBF"/>
            <w:vAlign w:val="center"/>
          </w:tcPr>
          <w:p w14:paraId="19F4D508" w14:textId="4F78792F" w:rsidR="000A7EA3" w:rsidRPr="00EE294E" w:rsidRDefault="000A7EA3" w:rsidP="00036F88">
            <w:pPr>
              <w:jc w:val="center"/>
              <w:rPr>
                <w:rFonts w:ascii="Times New Roman" w:eastAsia="Times New Roman" w:hAnsi="Times New Roman" w:cs="Times New Roman"/>
                <w:i/>
                <w:iCs/>
                <w:sz w:val="20"/>
                <w:szCs w:val="20"/>
                <w:lang w:val="en-US"/>
              </w:rPr>
            </w:pPr>
            <w:proofErr w:type="spellStart"/>
            <w:r w:rsidRPr="00EE294E">
              <w:rPr>
                <w:rFonts w:ascii="Times New Roman" w:eastAsia="Times New Roman" w:hAnsi="Times New Roman" w:cs="Times New Roman"/>
                <w:i/>
                <w:iCs/>
                <w:sz w:val="20"/>
                <w:szCs w:val="20"/>
                <w:lang w:val="en-US"/>
              </w:rPr>
              <w:t>Tekst</w:t>
            </w:r>
            <w:r w:rsidR="007C6B72" w:rsidRPr="00EE294E">
              <w:rPr>
                <w:rFonts w:ascii="Times New Roman" w:eastAsia="Times New Roman" w:hAnsi="Times New Roman" w:cs="Times New Roman"/>
                <w:i/>
                <w:iCs/>
                <w:sz w:val="20"/>
                <w:szCs w:val="20"/>
                <w:lang w:val="en-US"/>
              </w:rPr>
              <w:t>i</w:t>
            </w:r>
            <w:proofErr w:type="spellEnd"/>
          </w:p>
        </w:tc>
        <w:tc>
          <w:tcPr>
            <w:tcW w:w="720" w:type="dxa"/>
            <w:shd w:val="clear" w:color="auto" w:fill="BFBFBF"/>
            <w:vAlign w:val="center"/>
          </w:tcPr>
          <w:p w14:paraId="609D564B" w14:textId="77777777" w:rsidR="000A7EA3" w:rsidRPr="00EE294E" w:rsidRDefault="000A7EA3" w:rsidP="00036F88">
            <w:pPr>
              <w:jc w:val="center"/>
              <w:rPr>
                <w:rFonts w:ascii="Times New Roman" w:eastAsia="Times New Roman" w:hAnsi="Times New Roman" w:cs="Times New Roman"/>
                <w:i/>
                <w:iCs/>
                <w:sz w:val="20"/>
                <w:szCs w:val="20"/>
                <w:lang w:val="en-US"/>
              </w:rPr>
            </w:pPr>
            <w:proofErr w:type="spellStart"/>
            <w:r w:rsidRPr="00EE294E">
              <w:rPr>
                <w:rFonts w:ascii="Times New Roman" w:eastAsia="Times New Roman" w:hAnsi="Times New Roman" w:cs="Times New Roman"/>
                <w:i/>
                <w:iCs/>
                <w:sz w:val="20"/>
                <w:szCs w:val="20"/>
                <w:lang w:val="en-US"/>
              </w:rPr>
              <w:t>Pajtueshmëria</w:t>
            </w:r>
            <w:proofErr w:type="spellEnd"/>
          </w:p>
        </w:tc>
        <w:tc>
          <w:tcPr>
            <w:tcW w:w="3510" w:type="dxa"/>
            <w:shd w:val="clear" w:color="auto" w:fill="BFBFBF"/>
            <w:vAlign w:val="center"/>
          </w:tcPr>
          <w:p w14:paraId="0F04528A" w14:textId="77777777" w:rsidR="000A7EA3" w:rsidRPr="00EE294E" w:rsidRDefault="000A7EA3" w:rsidP="00036F88">
            <w:pPr>
              <w:jc w:val="center"/>
              <w:rPr>
                <w:rFonts w:ascii="Times New Roman" w:eastAsia="Times New Roman" w:hAnsi="Times New Roman" w:cs="Times New Roman"/>
                <w:i/>
                <w:iCs/>
                <w:sz w:val="20"/>
                <w:szCs w:val="20"/>
                <w:lang w:val="en-US"/>
              </w:rPr>
            </w:pPr>
            <w:proofErr w:type="spellStart"/>
            <w:r w:rsidRPr="00EE294E">
              <w:rPr>
                <w:rFonts w:ascii="Times New Roman" w:eastAsia="Times New Roman" w:hAnsi="Times New Roman" w:cs="Times New Roman"/>
                <w:i/>
                <w:iCs/>
                <w:sz w:val="20"/>
                <w:szCs w:val="20"/>
                <w:lang w:val="en-US"/>
              </w:rPr>
              <w:t>Shënime</w:t>
            </w:r>
            <w:proofErr w:type="spellEnd"/>
          </w:p>
        </w:tc>
      </w:tr>
      <w:tr w:rsidR="00260632" w:rsidRPr="00EE294E" w14:paraId="6560FCB0" w14:textId="77777777" w:rsidTr="007022FA">
        <w:trPr>
          <w:trHeight w:val="404"/>
        </w:trPr>
        <w:tc>
          <w:tcPr>
            <w:tcW w:w="540" w:type="dxa"/>
            <w:shd w:val="clear" w:color="auto" w:fill="F2F2F2"/>
          </w:tcPr>
          <w:p w14:paraId="2C6C40A7" w14:textId="77777777" w:rsidR="000A7EA3" w:rsidRPr="00EE294E" w:rsidRDefault="000A7EA3" w:rsidP="00036F88">
            <w:pPr>
              <w:jc w:val="center"/>
              <w:rPr>
                <w:rFonts w:ascii="Times New Roman" w:eastAsia="Calibri" w:hAnsi="Times New Roman" w:cs="Times New Roman"/>
                <w:i/>
                <w:iCs/>
                <w:sz w:val="20"/>
                <w:szCs w:val="20"/>
                <w:lang w:val="en-US"/>
              </w:rPr>
            </w:pPr>
          </w:p>
        </w:tc>
        <w:tc>
          <w:tcPr>
            <w:tcW w:w="5400" w:type="dxa"/>
            <w:shd w:val="clear" w:color="auto" w:fill="F2F2F2"/>
          </w:tcPr>
          <w:p w14:paraId="4FF914BE" w14:textId="1C6F6ECE" w:rsidR="00990A3C" w:rsidRPr="00EE294E" w:rsidRDefault="003C045B" w:rsidP="00990A3C">
            <w:pPr>
              <w:rPr>
                <w:rFonts w:ascii="Times New Roman" w:hAnsi="Times New Roman" w:cs="Times New Roman"/>
                <w:sz w:val="20"/>
                <w:szCs w:val="20"/>
              </w:rPr>
            </w:pPr>
            <w:bookmarkStart w:id="0" w:name="articolul1"/>
            <w:bookmarkEnd w:id="0"/>
            <w:r w:rsidRPr="00EE294E">
              <w:rPr>
                <w:rFonts w:ascii="Times New Roman" w:hAnsi="Times New Roman" w:cs="Times New Roman"/>
                <w:sz w:val="20"/>
                <w:szCs w:val="20"/>
              </w:rPr>
              <w:t>Preambula</w:t>
            </w:r>
          </w:p>
        </w:tc>
        <w:tc>
          <w:tcPr>
            <w:tcW w:w="450" w:type="dxa"/>
          </w:tcPr>
          <w:p w14:paraId="63FB219E" w14:textId="77777777" w:rsidR="000A7EA3" w:rsidRPr="00EE294E" w:rsidRDefault="000A7EA3" w:rsidP="00036F88">
            <w:pPr>
              <w:rPr>
                <w:rFonts w:ascii="Times New Roman" w:eastAsia="Calibri" w:hAnsi="Times New Roman" w:cs="Times New Roman"/>
                <w:sz w:val="20"/>
                <w:szCs w:val="20"/>
              </w:rPr>
            </w:pPr>
          </w:p>
        </w:tc>
        <w:tc>
          <w:tcPr>
            <w:tcW w:w="644" w:type="dxa"/>
            <w:shd w:val="clear" w:color="auto" w:fill="F2F2F2"/>
          </w:tcPr>
          <w:p w14:paraId="373E1C1C" w14:textId="3802F198" w:rsidR="000A7EA3" w:rsidRPr="00EE294E" w:rsidRDefault="000A7EA3" w:rsidP="00036F88">
            <w:pPr>
              <w:rPr>
                <w:rFonts w:ascii="Times New Roman" w:eastAsia="Calibri" w:hAnsi="Times New Roman" w:cs="Times New Roman"/>
                <w:sz w:val="20"/>
                <w:szCs w:val="20"/>
                <w:lang w:val="en-US"/>
              </w:rPr>
            </w:pPr>
          </w:p>
        </w:tc>
        <w:tc>
          <w:tcPr>
            <w:tcW w:w="5040" w:type="dxa"/>
            <w:shd w:val="clear" w:color="auto" w:fill="F2F2F2"/>
          </w:tcPr>
          <w:p w14:paraId="11322046" w14:textId="77777777" w:rsidR="002A7599" w:rsidRPr="00EE294E" w:rsidRDefault="002A7599" w:rsidP="002A7599">
            <w:pPr>
              <w:jc w:val="center"/>
              <w:rPr>
                <w:rFonts w:ascii="Times New Roman" w:hAnsi="Times New Roman" w:cs="Times New Roman"/>
                <w:b/>
                <w:bCs/>
                <w:sz w:val="20"/>
                <w:szCs w:val="20"/>
              </w:rPr>
            </w:pPr>
            <w:r w:rsidRPr="00EE294E">
              <w:rPr>
                <w:rFonts w:ascii="Times New Roman" w:hAnsi="Times New Roman" w:cs="Times New Roman"/>
                <w:b/>
                <w:bCs/>
                <w:sz w:val="20"/>
                <w:szCs w:val="20"/>
              </w:rPr>
              <w:t xml:space="preserve">Neni 1 </w:t>
            </w:r>
          </w:p>
          <w:p w14:paraId="4B0CEA75" w14:textId="77777777" w:rsidR="002A7599" w:rsidRPr="00EE294E" w:rsidRDefault="002A7599" w:rsidP="002A7599">
            <w:pPr>
              <w:jc w:val="center"/>
              <w:rPr>
                <w:rFonts w:ascii="Times New Roman" w:hAnsi="Times New Roman" w:cs="Times New Roman"/>
                <w:b/>
                <w:bCs/>
                <w:sz w:val="20"/>
                <w:szCs w:val="20"/>
              </w:rPr>
            </w:pPr>
            <w:r w:rsidRPr="00EE294E">
              <w:rPr>
                <w:rFonts w:ascii="Times New Roman" w:hAnsi="Times New Roman" w:cs="Times New Roman"/>
                <w:b/>
                <w:bCs/>
                <w:sz w:val="20"/>
                <w:szCs w:val="20"/>
              </w:rPr>
              <w:t>Objekti</w:t>
            </w:r>
          </w:p>
          <w:p w14:paraId="64C93E4E" w14:textId="1FE0E15B" w:rsidR="000A7EA3" w:rsidRPr="00EE294E" w:rsidRDefault="000A7EA3" w:rsidP="007022FA">
            <w:pPr>
              <w:jc w:val="center"/>
              <w:rPr>
                <w:rFonts w:ascii="Times New Roman" w:hAnsi="Times New Roman" w:cs="Times New Roman"/>
                <w:sz w:val="20"/>
                <w:szCs w:val="20"/>
              </w:rPr>
            </w:pPr>
          </w:p>
        </w:tc>
        <w:tc>
          <w:tcPr>
            <w:tcW w:w="720" w:type="dxa"/>
            <w:shd w:val="clear" w:color="auto" w:fill="F2F2F2"/>
          </w:tcPr>
          <w:p w14:paraId="176811E7" w14:textId="77777777" w:rsidR="000A7EA3" w:rsidRPr="00EE294E" w:rsidRDefault="000A7EA3" w:rsidP="00036F88">
            <w:pPr>
              <w:jc w:val="center"/>
              <w:rPr>
                <w:rFonts w:ascii="Times New Roman" w:eastAsia="Calibri" w:hAnsi="Times New Roman" w:cs="Times New Roman"/>
                <w:sz w:val="20"/>
                <w:szCs w:val="20"/>
                <w:lang w:val="en-US"/>
              </w:rPr>
            </w:pPr>
          </w:p>
        </w:tc>
        <w:tc>
          <w:tcPr>
            <w:tcW w:w="3510" w:type="dxa"/>
            <w:shd w:val="clear" w:color="auto" w:fill="F2F2F2"/>
          </w:tcPr>
          <w:p w14:paraId="0E837D0C" w14:textId="77777777" w:rsidR="000A7EA3" w:rsidRPr="00EE294E" w:rsidRDefault="000A7EA3" w:rsidP="00036F88">
            <w:pPr>
              <w:rPr>
                <w:rFonts w:ascii="Times New Roman" w:eastAsia="Calibri" w:hAnsi="Times New Roman" w:cs="Times New Roman"/>
                <w:sz w:val="20"/>
                <w:szCs w:val="20"/>
                <w:lang w:val="en-US"/>
              </w:rPr>
            </w:pPr>
          </w:p>
        </w:tc>
      </w:tr>
      <w:tr w:rsidR="00260632" w:rsidRPr="00EE294E" w14:paraId="7F6FBBB8" w14:textId="77777777" w:rsidTr="004738EE">
        <w:trPr>
          <w:trHeight w:val="1520"/>
        </w:trPr>
        <w:tc>
          <w:tcPr>
            <w:tcW w:w="540" w:type="dxa"/>
          </w:tcPr>
          <w:p w14:paraId="54CAE924" w14:textId="77777777" w:rsidR="000A7EA3" w:rsidRPr="00EE294E" w:rsidRDefault="000A7EA3" w:rsidP="00036F88">
            <w:pPr>
              <w:jc w:val="both"/>
              <w:rPr>
                <w:rFonts w:ascii="Times New Roman" w:eastAsia="Calibri" w:hAnsi="Times New Roman" w:cs="Times New Roman"/>
                <w:sz w:val="20"/>
                <w:szCs w:val="20"/>
                <w:lang w:val="en-US"/>
              </w:rPr>
            </w:pPr>
            <w:r w:rsidRPr="00EE294E">
              <w:rPr>
                <w:rFonts w:ascii="Times New Roman" w:eastAsia="Calibri" w:hAnsi="Times New Roman" w:cs="Times New Roman"/>
                <w:sz w:val="20"/>
                <w:szCs w:val="20"/>
                <w:lang w:val="en-US"/>
              </w:rPr>
              <w:t>1</w:t>
            </w:r>
          </w:p>
        </w:tc>
        <w:tc>
          <w:tcPr>
            <w:tcW w:w="5400" w:type="dxa"/>
          </w:tcPr>
          <w:p w14:paraId="30D0BBD4" w14:textId="1EF2C143" w:rsidR="003C045B" w:rsidRPr="00EE294E" w:rsidRDefault="003C045B" w:rsidP="003C045B">
            <w:pPr>
              <w:pStyle w:val="Heading2"/>
              <w:rPr>
                <w:rFonts w:ascii="Times New Roman" w:eastAsia="Times New Roman" w:hAnsi="Times New Roman" w:cs="Times New Roman"/>
                <w:color w:val="auto"/>
                <w:sz w:val="20"/>
                <w:szCs w:val="20"/>
              </w:rPr>
            </w:pPr>
            <w:r w:rsidRPr="00EE294E">
              <w:rPr>
                <w:rFonts w:ascii="Times New Roman" w:hAnsi="Times New Roman" w:cs="Times New Roman"/>
                <w:color w:val="333333"/>
                <w:sz w:val="20"/>
                <w:szCs w:val="20"/>
              </w:rPr>
              <w:t>Preambul</w:t>
            </w:r>
            <w:r w:rsidR="007C6B72" w:rsidRPr="00EE294E">
              <w:rPr>
                <w:rFonts w:ascii="Times New Roman" w:hAnsi="Times New Roman" w:cs="Times New Roman"/>
                <w:color w:val="333333"/>
                <w:sz w:val="20"/>
                <w:szCs w:val="20"/>
              </w:rPr>
              <w:t>a</w:t>
            </w:r>
            <w:r w:rsidRPr="00EE294E">
              <w:rPr>
                <w:rFonts w:ascii="Times New Roman" w:hAnsi="Times New Roman" w:cs="Times New Roman"/>
                <w:color w:val="333333"/>
                <w:sz w:val="20"/>
                <w:szCs w:val="20"/>
              </w:rPr>
              <w:t xml:space="preserve"> </w:t>
            </w:r>
            <w:bookmarkStart w:id="1" w:name="_Toc216435514"/>
            <w:r w:rsidR="0070240D" w:rsidRPr="00EE294E">
              <w:rPr>
                <w:rFonts w:ascii="Times New Roman" w:hAnsi="Times New Roman" w:cs="Times New Roman"/>
                <w:color w:val="333333"/>
                <w:sz w:val="20"/>
                <w:szCs w:val="20"/>
              </w:rPr>
              <w:t xml:space="preserve">e Direktivës </w:t>
            </w:r>
            <w:r w:rsidRPr="00EE294E">
              <w:rPr>
                <w:rFonts w:ascii="Times New Roman" w:eastAsia="Times New Roman" w:hAnsi="Times New Roman" w:cs="Times New Roman"/>
                <w:color w:val="auto"/>
                <w:sz w:val="20"/>
                <w:szCs w:val="20"/>
              </w:rPr>
              <w:t>(BE) 2020/284</w:t>
            </w:r>
            <w:bookmarkEnd w:id="1"/>
          </w:p>
          <w:p w14:paraId="28C7E6F9" w14:textId="52C28BAE" w:rsidR="0077636B" w:rsidRPr="00EE294E" w:rsidRDefault="0077636B" w:rsidP="00036F88">
            <w:pPr>
              <w:pStyle w:val="oj-ti-grseq-1"/>
              <w:shd w:val="clear" w:color="auto" w:fill="FFFFFF"/>
              <w:spacing w:before="240" w:beforeAutospacing="0" w:after="120" w:afterAutospacing="0"/>
              <w:jc w:val="both"/>
              <w:rPr>
                <w:color w:val="333333"/>
                <w:sz w:val="20"/>
                <w:szCs w:val="20"/>
              </w:rPr>
            </w:pPr>
          </w:p>
          <w:p w14:paraId="075EF7ED" w14:textId="58550EF7" w:rsidR="000A7EA3" w:rsidRPr="00EE294E" w:rsidRDefault="000A7EA3" w:rsidP="00036F88">
            <w:pPr>
              <w:jc w:val="both"/>
              <w:rPr>
                <w:rFonts w:ascii="Times New Roman" w:eastAsia="Calibri" w:hAnsi="Times New Roman" w:cs="Times New Roman"/>
                <w:iCs/>
                <w:sz w:val="20"/>
                <w:szCs w:val="20"/>
                <w:lang w:val="en-US"/>
              </w:rPr>
            </w:pPr>
          </w:p>
        </w:tc>
        <w:tc>
          <w:tcPr>
            <w:tcW w:w="450" w:type="dxa"/>
          </w:tcPr>
          <w:p w14:paraId="6D951FCC" w14:textId="7B0A04B6" w:rsidR="000A7EA3" w:rsidRPr="00EE294E" w:rsidRDefault="000A7EA3" w:rsidP="00036F88">
            <w:pPr>
              <w:jc w:val="center"/>
              <w:rPr>
                <w:rFonts w:ascii="Times New Roman" w:eastAsia="Calibri" w:hAnsi="Times New Roman" w:cs="Times New Roman"/>
                <w:sz w:val="20"/>
                <w:szCs w:val="20"/>
              </w:rPr>
            </w:pPr>
            <w:r w:rsidRPr="00EE294E">
              <w:rPr>
                <w:rFonts w:ascii="Times New Roman" w:eastAsia="Calibri" w:hAnsi="Times New Roman" w:cs="Times New Roman"/>
                <w:sz w:val="20"/>
                <w:szCs w:val="20"/>
              </w:rPr>
              <w:t>1</w:t>
            </w:r>
          </w:p>
        </w:tc>
        <w:tc>
          <w:tcPr>
            <w:tcW w:w="644" w:type="dxa"/>
          </w:tcPr>
          <w:p w14:paraId="7B749314" w14:textId="0117DE34" w:rsidR="000A7EA3" w:rsidRPr="00EE294E" w:rsidRDefault="00180BCF" w:rsidP="00036F88">
            <w:pPr>
              <w:jc w:val="center"/>
              <w:rPr>
                <w:rFonts w:ascii="Times New Roman" w:eastAsia="Calibri" w:hAnsi="Times New Roman" w:cs="Times New Roman"/>
                <w:sz w:val="20"/>
                <w:szCs w:val="20"/>
                <w:lang w:val="en-US"/>
              </w:rPr>
            </w:pPr>
            <w:r w:rsidRPr="00EE294E">
              <w:rPr>
                <w:rFonts w:ascii="Times New Roman" w:eastAsia="Calibri" w:hAnsi="Times New Roman" w:cs="Times New Roman"/>
                <w:sz w:val="20"/>
                <w:szCs w:val="20"/>
                <w:lang w:val="en-US"/>
              </w:rPr>
              <w:t xml:space="preserve">Neni 1 </w:t>
            </w:r>
          </w:p>
        </w:tc>
        <w:tc>
          <w:tcPr>
            <w:tcW w:w="5040" w:type="dxa"/>
          </w:tcPr>
          <w:p w14:paraId="06D777EA" w14:textId="77777777" w:rsidR="007C6B72" w:rsidRPr="00EE294E" w:rsidRDefault="007C6B72" w:rsidP="00EE294E">
            <w:pPr>
              <w:jc w:val="both"/>
              <w:rPr>
                <w:rFonts w:ascii="Times New Roman" w:hAnsi="Times New Roman" w:cs="Times New Roman"/>
                <w:b/>
                <w:bCs/>
                <w:sz w:val="20"/>
                <w:szCs w:val="20"/>
              </w:rPr>
            </w:pPr>
          </w:p>
          <w:p w14:paraId="7D2CEC06" w14:textId="25A3A602" w:rsidR="000A7EA3" w:rsidRPr="00EE294E" w:rsidRDefault="00180BCF" w:rsidP="007C6B72">
            <w:pPr>
              <w:jc w:val="both"/>
              <w:rPr>
                <w:rFonts w:ascii="Times New Roman" w:eastAsia="Calibri" w:hAnsi="Times New Roman" w:cs="Times New Roman"/>
                <w:sz w:val="20"/>
                <w:szCs w:val="20"/>
              </w:rPr>
            </w:pPr>
            <w:r w:rsidRPr="00EE294E">
              <w:rPr>
                <w:rFonts w:ascii="Times New Roman" w:hAnsi="Times New Roman" w:cs="Times New Roman"/>
                <w:sz w:val="20"/>
                <w:szCs w:val="20"/>
              </w:rPr>
              <w:t xml:space="preserve">Objekti i këtij ligji është përcaktimi i rregullave për  ofruesit e  shërbimeve të pagesave për të mbledhur dhe raportuar </w:t>
            </w:r>
            <w:r w:rsidR="007C6B72" w:rsidRPr="00EE294E">
              <w:rPr>
                <w:rFonts w:ascii="Times New Roman" w:hAnsi="Times New Roman" w:cs="Times New Roman"/>
                <w:sz w:val="20"/>
                <w:szCs w:val="20"/>
              </w:rPr>
              <w:t>pranë</w:t>
            </w:r>
            <w:r w:rsidRPr="00EE294E">
              <w:rPr>
                <w:rFonts w:ascii="Times New Roman" w:hAnsi="Times New Roman" w:cs="Times New Roman"/>
                <w:sz w:val="20"/>
                <w:szCs w:val="20"/>
              </w:rPr>
              <w:t xml:space="preserve"> administrat</w:t>
            </w:r>
            <w:r w:rsidR="007C6B72" w:rsidRPr="00EE294E">
              <w:rPr>
                <w:rFonts w:ascii="Times New Roman" w:hAnsi="Times New Roman" w:cs="Times New Roman"/>
                <w:sz w:val="20"/>
                <w:szCs w:val="20"/>
              </w:rPr>
              <w:t>ës</w:t>
            </w:r>
            <w:r w:rsidRPr="00EE294E">
              <w:rPr>
                <w:rFonts w:ascii="Times New Roman" w:hAnsi="Times New Roman" w:cs="Times New Roman"/>
                <w:sz w:val="20"/>
                <w:szCs w:val="20"/>
              </w:rPr>
              <w:t xml:space="preserve"> tatimore të dhënat mbi pagesat ndërkufitare, si dhe trasmetimit të tyre në Sistemin Elektronik të Informacionit mbi Pagesat Ndërkufitare (CESOP), në përputhje me Rregulloren e </w:t>
            </w:r>
            <w:r w:rsidR="007C6B72" w:rsidRPr="00EE294E">
              <w:rPr>
                <w:rFonts w:ascii="Times New Roman" w:hAnsi="Times New Roman" w:cs="Times New Roman"/>
                <w:sz w:val="20"/>
                <w:szCs w:val="20"/>
              </w:rPr>
              <w:t xml:space="preserve">Bashkimit </w:t>
            </w:r>
            <w:r w:rsidR="007C6B72" w:rsidRPr="00EE294E">
              <w:rPr>
                <w:rFonts w:ascii="Times New Roman" w:hAnsi="Times New Roman" w:cs="Times New Roman"/>
                <w:sz w:val="20"/>
                <w:szCs w:val="20"/>
              </w:rPr>
              <w:lastRenderedPageBreak/>
              <w:t>Evropian nr.</w:t>
            </w:r>
            <w:r w:rsidRPr="00EE294E">
              <w:rPr>
                <w:rFonts w:ascii="Times New Roman" w:hAnsi="Times New Roman" w:cs="Times New Roman"/>
                <w:sz w:val="20"/>
                <w:szCs w:val="20"/>
              </w:rPr>
              <w:t xml:space="preserve"> 904/2010, </w:t>
            </w:r>
            <w:r w:rsidR="007C6B72" w:rsidRPr="00EE294E">
              <w:rPr>
                <w:rFonts w:ascii="Times New Roman" w:hAnsi="Times New Roman" w:cs="Times New Roman"/>
                <w:sz w:val="20"/>
                <w:szCs w:val="20"/>
              </w:rPr>
              <w:t>t</w:t>
            </w:r>
            <w:r w:rsidR="00EE294E">
              <w:rPr>
                <w:rFonts w:ascii="Times New Roman" w:hAnsi="Times New Roman" w:cs="Times New Roman"/>
                <w:sz w:val="20"/>
                <w:szCs w:val="20"/>
              </w:rPr>
              <w:t>ë</w:t>
            </w:r>
            <w:r w:rsidRPr="00EE294E">
              <w:rPr>
                <w:rFonts w:ascii="Times New Roman" w:hAnsi="Times New Roman" w:cs="Times New Roman"/>
                <w:sz w:val="20"/>
                <w:szCs w:val="20"/>
              </w:rPr>
              <w:t xml:space="preserve"> ndryshuar, për qëllime të </w:t>
            </w:r>
            <w:r w:rsidR="007C6B72" w:rsidRPr="00EE294E">
              <w:rPr>
                <w:rFonts w:ascii="Times New Roman" w:hAnsi="Times New Roman" w:cs="Times New Roman"/>
                <w:sz w:val="20"/>
                <w:szCs w:val="20"/>
              </w:rPr>
              <w:t xml:space="preserve"> parandalimit, identifikimit, luftimit të mashtrimit dhe </w:t>
            </w:r>
            <w:r w:rsidRPr="00EE294E">
              <w:rPr>
                <w:rFonts w:ascii="Times New Roman" w:hAnsi="Times New Roman" w:cs="Times New Roman"/>
                <w:sz w:val="20"/>
                <w:szCs w:val="20"/>
              </w:rPr>
              <w:t xml:space="preserve">kontrollit </w:t>
            </w:r>
            <w:r w:rsidR="007C6B72" w:rsidRPr="00EE294E">
              <w:rPr>
                <w:rFonts w:ascii="Times New Roman" w:hAnsi="Times New Roman" w:cs="Times New Roman"/>
                <w:sz w:val="20"/>
                <w:szCs w:val="20"/>
              </w:rPr>
              <w:t>në fushën e TVSH-së.</w:t>
            </w:r>
          </w:p>
        </w:tc>
        <w:tc>
          <w:tcPr>
            <w:tcW w:w="720" w:type="dxa"/>
          </w:tcPr>
          <w:p w14:paraId="3F6791D3" w14:textId="4B9D7F40" w:rsidR="000A7EA3" w:rsidRPr="00EE294E" w:rsidRDefault="000A7EA3" w:rsidP="00036F88">
            <w:pPr>
              <w:jc w:val="center"/>
              <w:rPr>
                <w:rFonts w:ascii="Times New Roman" w:eastAsia="Calibri" w:hAnsi="Times New Roman" w:cs="Times New Roman"/>
                <w:sz w:val="20"/>
                <w:szCs w:val="20"/>
                <w:lang w:val="en-US"/>
              </w:rPr>
            </w:pPr>
            <w:r w:rsidRPr="00EE294E">
              <w:rPr>
                <w:rFonts w:ascii="Times New Roman" w:eastAsia="Calibri" w:hAnsi="Times New Roman" w:cs="Times New Roman"/>
                <w:sz w:val="20"/>
                <w:szCs w:val="20"/>
                <w:lang w:val="en-US"/>
              </w:rPr>
              <w:lastRenderedPageBreak/>
              <w:t>F</w:t>
            </w:r>
          </w:p>
        </w:tc>
        <w:tc>
          <w:tcPr>
            <w:tcW w:w="3510" w:type="dxa"/>
          </w:tcPr>
          <w:p w14:paraId="736FE64D" w14:textId="77777777" w:rsidR="008C4514" w:rsidRPr="00EE294E" w:rsidRDefault="008C4514" w:rsidP="00EE294E">
            <w:pPr>
              <w:jc w:val="both"/>
              <w:rPr>
                <w:rFonts w:ascii="Times New Roman" w:hAnsi="Times New Roman" w:cs="Times New Roman"/>
                <w:color w:val="333333"/>
                <w:sz w:val="20"/>
                <w:szCs w:val="20"/>
                <w:shd w:val="clear" w:color="auto" w:fill="FFFFFF"/>
              </w:rPr>
            </w:pPr>
            <w:proofErr w:type="spellStart"/>
            <w:r w:rsidRPr="00EE294E">
              <w:rPr>
                <w:rFonts w:ascii="Times New Roman" w:eastAsia="Times New Roman" w:hAnsi="Times New Roman" w:cs="Times New Roman"/>
                <w:sz w:val="20"/>
                <w:szCs w:val="20"/>
                <w:lang w:val="en-US"/>
              </w:rPr>
              <w:t>Dispozitat</w:t>
            </w:r>
            <w:proofErr w:type="spellEnd"/>
            <w:r w:rsidRPr="00EE294E">
              <w:rPr>
                <w:rFonts w:ascii="Times New Roman" w:eastAsia="Times New Roman" w:hAnsi="Times New Roman" w:cs="Times New Roman"/>
                <w:sz w:val="20"/>
                <w:szCs w:val="20"/>
                <w:lang w:val="en-US"/>
              </w:rPr>
              <w:t xml:space="preserve"> e </w:t>
            </w:r>
            <w:r w:rsidRPr="00EE294E">
              <w:rPr>
                <w:rFonts w:ascii="Times New Roman" w:hAnsi="Times New Roman" w:cs="Times New Roman"/>
                <w:color w:val="333333"/>
                <w:sz w:val="20"/>
                <w:szCs w:val="20"/>
                <w:shd w:val="clear" w:color="auto" w:fill="FFFFFF"/>
              </w:rPr>
              <w:t>Direktivës së Këshillit (BE) 2020/284 të datës 18 shkurt 2020, që ndryshon Direktivën 2006/112/KE në lidhje me futjen e kërkesave të caktuara për ofruesit e shërbimeve të pagesave, do të transpozohen në një ligj të ri në Shqipëri.</w:t>
            </w:r>
          </w:p>
          <w:p w14:paraId="5D358587" w14:textId="77777777" w:rsidR="00E7109E" w:rsidRPr="00EE294E" w:rsidRDefault="00E7109E" w:rsidP="00EE294E">
            <w:pPr>
              <w:jc w:val="both"/>
              <w:rPr>
                <w:rFonts w:ascii="Times New Roman" w:hAnsi="Times New Roman" w:cs="Times New Roman"/>
                <w:color w:val="333333"/>
                <w:sz w:val="20"/>
                <w:szCs w:val="20"/>
                <w:shd w:val="clear" w:color="auto" w:fill="FFFFFF"/>
              </w:rPr>
            </w:pPr>
          </w:p>
          <w:p w14:paraId="196547CE" w14:textId="5587DBFA" w:rsidR="00E7109E" w:rsidRPr="00EE294E" w:rsidRDefault="008C4514" w:rsidP="00EE294E">
            <w:pPr>
              <w:jc w:val="both"/>
              <w:rPr>
                <w:rFonts w:ascii="Times New Roman" w:eastAsia="Times New Roman" w:hAnsi="Times New Roman" w:cs="Times New Roman"/>
                <w:sz w:val="20"/>
                <w:szCs w:val="20"/>
              </w:rPr>
            </w:pPr>
            <w:r w:rsidRPr="00EE294E">
              <w:rPr>
                <w:rFonts w:ascii="Times New Roman" w:hAnsi="Times New Roman" w:cs="Times New Roman"/>
                <w:color w:val="333333"/>
                <w:sz w:val="20"/>
                <w:szCs w:val="20"/>
                <w:shd w:val="clear" w:color="auto" w:fill="FFFFFF"/>
              </w:rPr>
              <w:t xml:space="preserve">Neni 1 "Objekti" i projektligjit të ri është plotësisht në përputhje me Preambulën e Direktivës, </w:t>
            </w:r>
            <w:r w:rsidR="0077636B" w:rsidRPr="00EE294E">
              <w:rPr>
                <w:rFonts w:ascii="Times New Roman" w:eastAsia="Times New Roman" w:hAnsi="Times New Roman" w:cs="Times New Roman"/>
                <w:sz w:val="20"/>
                <w:szCs w:val="20"/>
              </w:rPr>
              <w:t>me nenet 243a–243d.</w:t>
            </w:r>
          </w:p>
          <w:p w14:paraId="4FE796B0" w14:textId="77777777" w:rsidR="00E7109E" w:rsidRPr="00EE294E" w:rsidRDefault="00E7109E" w:rsidP="00EE294E">
            <w:pPr>
              <w:jc w:val="both"/>
              <w:rPr>
                <w:rFonts w:ascii="Times New Roman" w:eastAsia="Times New Roman" w:hAnsi="Times New Roman" w:cs="Times New Roman"/>
                <w:sz w:val="20"/>
                <w:szCs w:val="20"/>
              </w:rPr>
            </w:pPr>
          </w:p>
          <w:p w14:paraId="03521802" w14:textId="1B9343F8" w:rsidR="000A7EA3" w:rsidRPr="00EE294E" w:rsidRDefault="00417273" w:rsidP="00EE294E">
            <w:pPr>
              <w:jc w:val="both"/>
              <w:rPr>
                <w:rFonts w:ascii="Times New Roman" w:hAnsi="Times New Roman" w:cs="Times New Roman"/>
                <w:color w:val="333333"/>
                <w:sz w:val="20"/>
                <w:szCs w:val="20"/>
                <w:shd w:val="clear" w:color="auto" w:fill="FFFFFF"/>
              </w:rPr>
            </w:pPr>
            <w:r w:rsidRPr="00EE294E">
              <w:rPr>
                <w:rFonts w:ascii="Times New Roman" w:eastAsia="Times New Roman" w:hAnsi="Times New Roman" w:cs="Times New Roman"/>
                <w:sz w:val="20"/>
                <w:szCs w:val="20"/>
              </w:rPr>
              <w:t xml:space="preserve">Ai përcakton lëndën e ligjit në përputhje me qëllimin e </w:t>
            </w:r>
            <w:r w:rsidRPr="00EE294E">
              <w:rPr>
                <w:rFonts w:ascii="Times New Roman" w:hAnsi="Times New Roman" w:cs="Times New Roman"/>
                <w:sz w:val="20"/>
                <w:szCs w:val="20"/>
              </w:rPr>
              <w:t>përcaktimit të rregullave për ofruesit e shërbimeve të pagesave për të mbledhur dhe raportuar në administratën tatimore të dhëna mbi pagesat ndërkufitare, si dhe për t'i transmetuar ato në Sistemin Elektronik të Informacionit mbi Pagesat Ndërkufitare (CESOP).</w:t>
            </w:r>
          </w:p>
        </w:tc>
      </w:tr>
      <w:tr w:rsidR="003C045B" w:rsidRPr="00EE294E" w14:paraId="6F796DB6" w14:textId="77777777" w:rsidTr="004738EE">
        <w:trPr>
          <w:trHeight w:val="278"/>
        </w:trPr>
        <w:tc>
          <w:tcPr>
            <w:tcW w:w="540" w:type="dxa"/>
            <w:shd w:val="clear" w:color="auto" w:fill="F2F2F2"/>
          </w:tcPr>
          <w:p w14:paraId="78A89E6F" w14:textId="77777777" w:rsidR="003C045B" w:rsidRPr="00EE294E" w:rsidRDefault="003C045B" w:rsidP="003C045B">
            <w:pPr>
              <w:jc w:val="center"/>
              <w:rPr>
                <w:rFonts w:ascii="Times New Roman" w:eastAsia="Calibri" w:hAnsi="Times New Roman" w:cs="Times New Roman"/>
                <w:i/>
                <w:sz w:val="20"/>
                <w:szCs w:val="20"/>
              </w:rPr>
            </w:pPr>
          </w:p>
        </w:tc>
        <w:tc>
          <w:tcPr>
            <w:tcW w:w="5400" w:type="dxa"/>
            <w:shd w:val="clear" w:color="auto" w:fill="F2F2F2"/>
          </w:tcPr>
          <w:p w14:paraId="77D30394" w14:textId="02F512A8" w:rsidR="003C045B" w:rsidRPr="00EE294E" w:rsidRDefault="003C045B" w:rsidP="003C045B">
            <w:pPr>
              <w:rPr>
                <w:rFonts w:ascii="Times New Roman" w:hAnsi="Times New Roman" w:cs="Times New Roman"/>
                <w:i/>
                <w:sz w:val="20"/>
                <w:szCs w:val="20"/>
              </w:rPr>
            </w:pPr>
            <w:r w:rsidRPr="00EE294E">
              <w:rPr>
                <w:rFonts w:ascii="Times New Roman" w:hAnsi="Times New Roman" w:cs="Times New Roman"/>
                <w:sz w:val="20"/>
                <w:szCs w:val="20"/>
              </w:rPr>
              <w:t>Preambula</w:t>
            </w:r>
          </w:p>
        </w:tc>
        <w:tc>
          <w:tcPr>
            <w:tcW w:w="450" w:type="dxa"/>
          </w:tcPr>
          <w:p w14:paraId="753D3D53" w14:textId="77777777" w:rsidR="003C045B" w:rsidRPr="00EE294E" w:rsidRDefault="003C045B" w:rsidP="003C045B">
            <w:pPr>
              <w:jc w:val="center"/>
              <w:rPr>
                <w:rFonts w:ascii="Times New Roman" w:eastAsia="Calibri" w:hAnsi="Times New Roman" w:cs="Times New Roman"/>
                <w:i/>
                <w:sz w:val="20"/>
                <w:szCs w:val="20"/>
              </w:rPr>
            </w:pPr>
          </w:p>
        </w:tc>
        <w:tc>
          <w:tcPr>
            <w:tcW w:w="644" w:type="dxa"/>
            <w:shd w:val="clear" w:color="auto" w:fill="F2F2F2"/>
          </w:tcPr>
          <w:p w14:paraId="49667D08" w14:textId="77777777" w:rsidR="003C045B" w:rsidRPr="00EE294E" w:rsidRDefault="003C045B" w:rsidP="003C045B">
            <w:pPr>
              <w:jc w:val="center"/>
              <w:rPr>
                <w:rFonts w:ascii="Times New Roman" w:eastAsia="Calibri" w:hAnsi="Times New Roman" w:cs="Times New Roman"/>
                <w:i/>
                <w:sz w:val="20"/>
                <w:szCs w:val="20"/>
              </w:rPr>
            </w:pPr>
          </w:p>
        </w:tc>
        <w:tc>
          <w:tcPr>
            <w:tcW w:w="5040" w:type="dxa"/>
            <w:shd w:val="clear" w:color="auto" w:fill="F2F2F2"/>
          </w:tcPr>
          <w:p w14:paraId="5C32B483" w14:textId="77777777" w:rsidR="00201DBB" w:rsidRPr="00EE294E" w:rsidRDefault="00201DBB" w:rsidP="00201DBB">
            <w:pPr>
              <w:spacing w:line="276" w:lineRule="auto"/>
              <w:jc w:val="center"/>
              <w:rPr>
                <w:rFonts w:ascii="Times New Roman" w:hAnsi="Times New Roman" w:cs="Times New Roman"/>
                <w:b/>
                <w:bCs/>
                <w:sz w:val="20"/>
                <w:szCs w:val="20"/>
                <w:lang w:val="it-CH"/>
              </w:rPr>
            </w:pPr>
            <w:r w:rsidRPr="00EE294E">
              <w:rPr>
                <w:rFonts w:ascii="Times New Roman" w:hAnsi="Times New Roman" w:cs="Times New Roman"/>
                <w:b/>
                <w:bCs/>
                <w:sz w:val="20"/>
                <w:szCs w:val="20"/>
                <w:lang w:val="it-CH"/>
              </w:rPr>
              <w:t>Neni 2</w:t>
            </w:r>
          </w:p>
          <w:p w14:paraId="2043F563" w14:textId="77777777" w:rsidR="00201DBB" w:rsidRPr="00EE294E" w:rsidRDefault="00201DBB" w:rsidP="00201DBB">
            <w:pPr>
              <w:spacing w:line="276" w:lineRule="auto"/>
              <w:jc w:val="center"/>
              <w:rPr>
                <w:rFonts w:ascii="Times New Roman" w:hAnsi="Times New Roman" w:cs="Times New Roman"/>
                <w:b/>
                <w:bCs/>
                <w:sz w:val="20"/>
                <w:szCs w:val="20"/>
                <w:lang w:val="it-CH"/>
              </w:rPr>
            </w:pPr>
            <w:r w:rsidRPr="00EE294E">
              <w:rPr>
                <w:rFonts w:ascii="Times New Roman" w:hAnsi="Times New Roman" w:cs="Times New Roman"/>
                <w:b/>
                <w:bCs/>
                <w:sz w:val="20"/>
                <w:szCs w:val="20"/>
                <w:lang w:val="it-CH"/>
              </w:rPr>
              <w:t>Qëllimi</w:t>
            </w:r>
          </w:p>
          <w:p w14:paraId="7BD77AB0" w14:textId="405B08BE" w:rsidR="003C045B" w:rsidRPr="00EE294E" w:rsidRDefault="003C045B" w:rsidP="003C045B">
            <w:pPr>
              <w:jc w:val="center"/>
              <w:rPr>
                <w:rFonts w:ascii="Times New Roman" w:hAnsi="Times New Roman" w:cs="Times New Roman"/>
                <w:i/>
                <w:sz w:val="20"/>
                <w:szCs w:val="20"/>
              </w:rPr>
            </w:pPr>
          </w:p>
        </w:tc>
        <w:tc>
          <w:tcPr>
            <w:tcW w:w="720" w:type="dxa"/>
            <w:shd w:val="clear" w:color="auto" w:fill="F2F2F2"/>
          </w:tcPr>
          <w:p w14:paraId="148AA987" w14:textId="77777777" w:rsidR="003C045B" w:rsidRPr="00EE294E" w:rsidRDefault="003C045B" w:rsidP="003C045B">
            <w:pPr>
              <w:jc w:val="center"/>
              <w:rPr>
                <w:rFonts w:ascii="Times New Roman" w:eastAsia="Calibri" w:hAnsi="Times New Roman" w:cs="Times New Roman"/>
                <w:i/>
                <w:sz w:val="20"/>
                <w:szCs w:val="20"/>
              </w:rPr>
            </w:pPr>
          </w:p>
        </w:tc>
        <w:tc>
          <w:tcPr>
            <w:tcW w:w="3510" w:type="dxa"/>
            <w:shd w:val="clear" w:color="auto" w:fill="F2F2F2"/>
          </w:tcPr>
          <w:p w14:paraId="26964FA0" w14:textId="77777777" w:rsidR="003C045B" w:rsidRPr="00EE294E" w:rsidRDefault="003C045B" w:rsidP="003C045B">
            <w:pPr>
              <w:rPr>
                <w:rFonts w:ascii="Times New Roman" w:eastAsia="Calibri" w:hAnsi="Times New Roman" w:cs="Times New Roman"/>
                <w:i/>
                <w:sz w:val="20"/>
                <w:szCs w:val="20"/>
              </w:rPr>
            </w:pPr>
          </w:p>
        </w:tc>
      </w:tr>
      <w:tr w:rsidR="003C045B" w:rsidRPr="00EE294E" w14:paraId="54545BFE" w14:textId="77777777" w:rsidTr="00990A3C">
        <w:trPr>
          <w:trHeight w:val="1718"/>
        </w:trPr>
        <w:tc>
          <w:tcPr>
            <w:tcW w:w="540" w:type="dxa"/>
            <w:shd w:val="clear" w:color="auto" w:fill="F2F2F2"/>
          </w:tcPr>
          <w:p w14:paraId="2072CEFD" w14:textId="77777777" w:rsidR="003C045B" w:rsidRPr="00EE294E" w:rsidRDefault="003C045B" w:rsidP="003C045B">
            <w:pPr>
              <w:jc w:val="center"/>
              <w:rPr>
                <w:rFonts w:ascii="Times New Roman" w:eastAsia="Calibri" w:hAnsi="Times New Roman" w:cs="Times New Roman"/>
                <w:i/>
                <w:sz w:val="20"/>
                <w:szCs w:val="20"/>
              </w:rPr>
            </w:pPr>
          </w:p>
        </w:tc>
        <w:tc>
          <w:tcPr>
            <w:tcW w:w="5400" w:type="dxa"/>
            <w:shd w:val="clear" w:color="auto" w:fill="FFFFFF" w:themeFill="background1"/>
          </w:tcPr>
          <w:p w14:paraId="0ED9686A" w14:textId="4A1D1AC6" w:rsidR="003C045B" w:rsidRPr="00EE294E" w:rsidRDefault="003C045B" w:rsidP="003C045B">
            <w:pPr>
              <w:pStyle w:val="Heading2"/>
              <w:rPr>
                <w:rFonts w:ascii="Times New Roman" w:eastAsia="Times New Roman" w:hAnsi="Times New Roman" w:cs="Times New Roman"/>
                <w:color w:val="auto"/>
                <w:sz w:val="20"/>
                <w:szCs w:val="20"/>
              </w:rPr>
            </w:pPr>
            <w:r w:rsidRPr="00EE294E">
              <w:rPr>
                <w:rFonts w:ascii="Times New Roman" w:eastAsia="Times New Roman" w:hAnsi="Times New Roman" w:cs="Times New Roman"/>
                <w:color w:val="auto"/>
                <w:sz w:val="20"/>
                <w:szCs w:val="20"/>
              </w:rPr>
              <w:t>Preambula e Direktivës (BE) 2020/284</w:t>
            </w:r>
          </w:p>
          <w:p w14:paraId="45875286" w14:textId="77777777" w:rsidR="003C045B" w:rsidRPr="00EE294E" w:rsidRDefault="003C045B" w:rsidP="003C045B">
            <w:pPr>
              <w:pStyle w:val="oj-ti-grseq-1"/>
              <w:shd w:val="clear" w:color="auto" w:fill="FFFFFF"/>
              <w:spacing w:before="240" w:beforeAutospacing="0" w:after="120" w:afterAutospacing="0"/>
              <w:jc w:val="both"/>
              <w:rPr>
                <w:color w:val="333333"/>
                <w:sz w:val="20"/>
                <w:szCs w:val="20"/>
              </w:rPr>
            </w:pPr>
          </w:p>
          <w:p w14:paraId="6F7B7ABA" w14:textId="77777777" w:rsidR="003C045B" w:rsidRPr="00EE294E" w:rsidRDefault="003C045B" w:rsidP="003C045B">
            <w:pPr>
              <w:pStyle w:val="Heading2"/>
              <w:rPr>
                <w:rFonts w:ascii="Times New Roman" w:eastAsia="Calibri" w:hAnsi="Times New Roman" w:cs="Times New Roman"/>
                <w:iCs/>
                <w:color w:val="auto"/>
                <w:sz w:val="20"/>
                <w:szCs w:val="20"/>
                <w:lang w:val="en-US"/>
              </w:rPr>
            </w:pPr>
          </w:p>
        </w:tc>
        <w:tc>
          <w:tcPr>
            <w:tcW w:w="450" w:type="dxa"/>
            <w:shd w:val="clear" w:color="auto" w:fill="FFFFFF" w:themeFill="background1"/>
          </w:tcPr>
          <w:p w14:paraId="6F2021F6" w14:textId="77777777" w:rsidR="003C045B" w:rsidRPr="00EE294E" w:rsidRDefault="003C045B" w:rsidP="003C045B">
            <w:pPr>
              <w:jc w:val="center"/>
              <w:rPr>
                <w:rFonts w:ascii="Times New Roman" w:eastAsia="Calibri" w:hAnsi="Times New Roman" w:cs="Times New Roman"/>
                <w:sz w:val="20"/>
                <w:szCs w:val="20"/>
              </w:rPr>
            </w:pPr>
          </w:p>
        </w:tc>
        <w:tc>
          <w:tcPr>
            <w:tcW w:w="644" w:type="dxa"/>
            <w:shd w:val="clear" w:color="auto" w:fill="FFFFFF" w:themeFill="background1"/>
          </w:tcPr>
          <w:p w14:paraId="3EC3C5E4" w14:textId="7D1CBD8F" w:rsidR="003C045B" w:rsidRPr="00EE294E" w:rsidRDefault="002A7599" w:rsidP="003C045B">
            <w:pPr>
              <w:jc w:val="center"/>
              <w:rPr>
                <w:rFonts w:ascii="Times New Roman" w:eastAsia="Calibri" w:hAnsi="Times New Roman" w:cs="Times New Roman"/>
                <w:sz w:val="20"/>
                <w:szCs w:val="20"/>
              </w:rPr>
            </w:pPr>
            <w:r w:rsidRPr="00EE294E">
              <w:rPr>
                <w:rFonts w:ascii="Times New Roman" w:eastAsia="Calibri" w:hAnsi="Times New Roman" w:cs="Times New Roman"/>
                <w:sz w:val="20"/>
                <w:szCs w:val="20"/>
              </w:rPr>
              <w:t>Neni 2</w:t>
            </w:r>
          </w:p>
        </w:tc>
        <w:tc>
          <w:tcPr>
            <w:tcW w:w="5040" w:type="dxa"/>
            <w:shd w:val="clear" w:color="auto" w:fill="FFFFFF" w:themeFill="background1"/>
          </w:tcPr>
          <w:p w14:paraId="7CC62494" w14:textId="77777777" w:rsidR="00201DBB" w:rsidRPr="00EE294E" w:rsidRDefault="00201DBB" w:rsidP="00EE294E">
            <w:pPr>
              <w:jc w:val="both"/>
              <w:rPr>
                <w:rFonts w:ascii="Times New Roman" w:hAnsi="Times New Roman" w:cs="Times New Roman"/>
                <w:sz w:val="20"/>
                <w:szCs w:val="20"/>
              </w:rPr>
            </w:pPr>
          </w:p>
          <w:p w14:paraId="0BC95CDE" w14:textId="3602EBF2" w:rsidR="00DF7851" w:rsidRPr="00EE294E" w:rsidRDefault="00DF7851" w:rsidP="00EE294E">
            <w:pPr>
              <w:jc w:val="both"/>
              <w:rPr>
                <w:rFonts w:ascii="Times New Roman" w:hAnsi="Times New Roman" w:cs="Times New Roman"/>
                <w:sz w:val="20"/>
                <w:szCs w:val="20"/>
              </w:rPr>
            </w:pPr>
            <w:r w:rsidRPr="00EE294E">
              <w:rPr>
                <w:rFonts w:ascii="Times New Roman" w:hAnsi="Times New Roman" w:cs="Times New Roman"/>
                <w:sz w:val="20"/>
                <w:szCs w:val="20"/>
              </w:rPr>
              <w:t>Qëllimi i këtij ligji është të sigurojë mbledhjen, administrimin</w:t>
            </w:r>
            <w:r w:rsidR="009A70F7" w:rsidRPr="00EE294E">
              <w:rPr>
                <w:rFonts w:ascii="Times New Roman" w:hAnsi="Times New Roman" w:cs="Times New Roman"/>
                <w:sz w:val="20"/>
                <w:szCs w:val="20"/>
              </w:rPr>
              <w:t>, përpunimin, shkëmbimin</w:t>
            </w:r>
            <w:r w:rsidRPr="00EE294E">
              <w:rPr>
                <w:rFonts w:ascii="Times New Roman" w:hAnsi="Times New Roman" w:cs="Times New Roman"/>
                <w:sz w:val="20"/>
                <w:szCs w:val="20"/>
              </w:rPr>
              <w:t xml:space="preserve"> dhe raportimin e të dhënave mbi pagesat ndërkufitare, për të mundësuar:</w:t>
            </w:r>
          </w:p>
          <w:p w14:paraId="46FC6CBE" w14:textId="77777777" w:rsidR="00DF7851" w:rsidRPr="00EE294E" w:rsidRDefault="00DF7851" w:rsidP="00EE294E">
            <w:pPr>
              <w:jc w:val="both"/>
              <w:rPr>
                <w:rFonts w:ascii="Times New Roman" w:hAnsi="Times New Roman" w:cs="Times New Roman"/>
                <w:sz w:val="20"/>
                <w:szCs w:val="20"/>
              </w:rPr>
            </w:pPr>
          </w:p>
          <w:p w14:paraId="5CE48DED" w14:textId="2F2E0D81" w:rsidR="00DF7851" w:rsidRPr="00EE294E" w:rsidRDefault="00DF7851" w:rsidP="00EE294E">
            <w:pPr>
              <w:jc w:val="both"/>
              <w:rPr>
                <w:rFonts w:ascii="Times New Roman" w:hAnsi="Times New Roman" w:cs="Times New Roman"/>
                <w:sz w:val="20"/>
                <w:szCs w:val="20"/>
              </w:rPr>
            </w:pPr>
            <w:r w:rsidRPr="00EE294E">
              <w:rPr>
                <w:rFonts w:ascii="Times New Roman" w:hAnsi="Times New Roman" w:cs="Times New Roman"/>
                <w:sz w:val="20"/>
                <w:szCs w:val="20"/>
              </w:rPr>
              <w:t xml:space="preserve">a) parandalimin dhe luftën kundër mashtrimeve të lidhura me </w:t>
            </w:r>
            <w:r w:rsidR="009A70F7" w:rsidRPr="00EE294E">
              <w:rPr>
                <w:rFonts w:ascii="Times New Roman" w:hAnsi="Times New Roman" w:cs="Times New Roman"/>
                <w:sz w:val="20"/>
                <w:szCs w:val="20"/>
              </w:rPr>
              <w:t>TVSH-në</w:t>
            </w:r>
            <w:r w:rsidRPr="00EE294E">
              <w:rPr>
                <w:rFonts w:ascii="Times New Roman" w:hAnsi="Times New Roman" w:cs="Times New Roman"/>
                <w:sz w:val="20"/>
                <w:szCs w:val="20"/>
              </w:rPr>
              <w:t xml:space="preserve"> në transaksionet ndërkufitare;</w:t>
            </w:r>
          </w:p>
          <w:p w14:paraId="4725979C" w14:textId="77777777" w:rsidR="00DF7851" w:rsidRPr="00EE294E" w:rsidRDefault="00DF7851" w:rsidP="00EE294E">
            <w:pPr>
              <w:jc w:val="both"/>
              <w:rPr>
                <w:rFonts w:ascii="Times New Roman" w:hAnsi="Times New Roman" w:cs="Times New Roman"/>
                <w:sz w:val="20"/>
                <w:szCs w:val="20"/>
              </w:rPr>
            </w:pPr>
          </w:p>
          <w:p w14:paraId="778B887A" w14:textId="7627008D" w:rsidR="003C045B" w:rsidRPr="00EE294E" w:rsidRDefault="00DF7851" w:rsidP="00CF2539">
            <w:pPr>
              <w:jc w:val="both"/>
              <w:rPr>
                <w:rFonts w:ascii="Times New Roman" w:hAnsi="Times New Roman" w:cs="Times New Roman"/>
                <w:sz w:val="20"/>
                <w:szCs w:val="20"/>
              </w:rPr>
            </w:pPr>
            <w:r w:rsidRPr="00EE294E">
              <w:rPr>
                <w:rFonts w:ascii="Times New Roman" w:hAnsi="Times New Roman" w:cs="Times New Roman"/>
                <w:sz w:val="20"/>
                <w:szCs w:val="20"/>
              </w:rPr>
              <w:t xml:space="preserve">b) shkëmbimin e informacionit </w:t>
            </w:r>
            <w:r w:rsidR="009A70F7" w:rsidRPr="00EE294E">
              <w:rPr>
                <w:rFonts w:ascii="Times New Roman" w:hAnsi="Times New Roman" w:cs="Times New Roman"/>
                <w:sz w:val="20"/>
                <w:szCs w:val="20"/>
              </w:rPr>
              <w:t xml:space="preserve">nëpërmjet </w:t>
            </w:r>
            <w:r w:rsidRPr="00EE294E">
              <w:rPr>
                <w:rFonts w:ascii="Times New Roman" w:hAnsi="Times New Roman" w:cs="Times New Roman"/>
                <w:sz w:val="20"/>
                <w:szCs w:val="20"/>
              </w:rPr>
              <w:t>Sistemi</w:t>
            </w:r>
            <w:r w:rsidR="009A70F7" w:rsidRPr="00EE294E">
              <w:rPr>
                <w:rFonts w:ascii="Times New Roman" w:hAnsi="Times New Roman" w:cs="Times New Roman"/>
                <w:sz w:val="20"/>
                <w:szCs w:val="20"/>
              </w:rPr>
              <w:t>t</w:t>
            </w:r>
            <w:r w:rsidRPr="00EE294E">
              <w:rPr>
                <w:rFonts w:ascii="Times New Roman" w:hAnsi="Times New Roman" w:cs="Times New Roman"/>
                <w:sz w:val="20"/>
                <w:szCs w:val="20"/>
              </w:rPr>
              <w:t xml:space="preserve"> Elektronik të Informacionit mbi Pagesat Ndërkufitare (CESOP). </w:t>
            </w:r>
          </w:p>
        </w:tc>
        <w:tc>
          <w:tcPr>
            <w:tcW w:w="720" w:type="dxa"/>
            <w:shd w:val="clear" w:color="auto" w:fill="FFFFFF" w:themeFill="background1"/>
          </w:tcPr>
          <w:p w14:paraId="3EFFA98E" w14:textId="08E91922" w:rsidR="003C045B" w:rsidRPr="00EE294E" w:rsidRDefault="003C045B" w:rsidP="003C045B">
            <w:pPr>
              <w:jc w:val="center"/>
              <w:rPr>
                <w:rFonts w:ascii="Times New Roman" w:eastAsia="Calibri" w:hAnsi="Times New Roman" w:cs="Times New Roman"/>
                <w:sz w:val="20"/>
                <w:szCs w:val="20"/>
              </w:rPr>
            </w:pPr>
            <w:r w:rsidRPr="00EE294E">
              <w:rPr>
                <w:rFonts w:ascii="Times New Roman" w:eastAsia="Calibri" w:hAnsi="Times New Roman" w:cs="Times New Roman"/>
                <w:sz w:val="20"/>
                <w:szCs w:val="20"/>
                <w:lang w:val="en-US"/>
              </w:rPr>
              <w:t>F</w:t>
            </w:r>
          </w:p>
        </w:tc>
        <w:tc>
          <w:tcPr>
            <w:tcW w:w="3510" w:type="dxa"/>
            <w:shd w:val="clear" w:color="auto" w:fill="FFFFFF" w:themeFill="background1"/>
          </w:tcPr>
          <w:p w14:paraId="20FEF4A2" w14:textId="77777777" w:rsidR="00417273" w:rsidRPr="00EE294E" w:rsidRDefault="003C045B" w:rsidP="00EE294E">
            <w:pPr>
              <w:jc w:val="both"/>
              <w:rPr>
                <w:rFonts w:ascii="Times New Roman" w:eastAsia="Times New Roman" w:hAnsi="Times New Roman" w:cs="Times New Roman"/>
                <w:sz w:val="20"/>
                <w:szCs w:val="20"/>
              </w:rPr>
            </w:pPr>
            <w:r w:rsidRPr="00EE294E">
              <w:rPr>
                <w:rFonts w:ascii="Times New Roman" w:eastAsia="Times New Roman" w:hAnsi="Times New Roman" w:cs="Times New Roman"/>
                <w:sz w:val="20"/>
                <w:szCs w:val="20"/>
              </w:rPr>
              <w:t>Dispozita është plotësisht në përputhje me objektivat e Nenit 243a të Direktivës 2006/112/KE, pasi përcakton qëllimin e mbledhjes, administrimit dhe raportimit të të dhënave mbi pagesat ndërkufitare për parandalimin e mashtrimit në lidhje me TVSH-në dhe për lehtësimin e shkëmbimit të informacionit me sistemin qendror të BE-së (CESOP).</w:t>
            </w:r>
          </w:p>
          <w:p w14:paraId="47769322" w14:textId="77777777" w:rsidR="00417273" w:rsidRPr="00EE294E" w:rsidRDefault="00417273" w:rsidP="00EE294E">
            <w:pPr>
              <w:jc w:val="both"/>
              <w:rPr>
                <w:rFonts w:ascii="Times New Roman" w:eastAsia="Times New Roman" w:hAnsi="Times New Roman" w:cs="Times New Roman"/>
                <w:sz w:val="20"/>
                <w:szCs w:val="20"/>
              </w:rPr>
            </w:pPr>
          </w:p>
          <w:p w14:paraId="71188287" w14:textId="02DF3165" w:rsidR="003C045B" w:rsidRPr="00EE294E" w:rsidRDefault="003C045B" w:rsidP="00EE294E">
            <w:pPr>
              <w:jc w:val="both"/>
              <w:rPr>
                <w:rFonts w:ascii="Times New Roman" w:eastAsia="Calibri" w:hAnsi="Times New Roman" w:cs="Times New Roman"/>
                <w:sz w:val="20"/>
                <w:szCs w:val="20"/>
              </w:rPr>
            </w:pPr>
            <w:r w:rsidRPr="00EE294E">
              <w:rPr>
                <w:rFonts w:ascii="Times New Roman" w:eastAsia="Times New Roman" w:hAnsi="Times New Roman" w:cs="Times New Roman"/>
                <w:sz w:val="20"/>
                <w:szCs w:val="20"/>
              </w:rPr>
              <w:t>Elementet kryesore të nenit të projektligjit (mbledhja, administrimi, raportimi dhe bashkëpunimi ndërinstitucional) janë plotësisht në përputhje me funksionet e parashikuara nga direktiva për këtë sistem.</w:t>
            </w:r>
          </w:p>
        </w:tc>
      </w:tr>
      <w:tr w:rsidR="003C045B" w:rsidRPr="00EE294E" w14:paraId="0EC2C01A" w14:textId="77777777" w:rsidTr="004738EE">
        <w:tc>
          <w:tcPr>
            <w:tcW w:w="540" w:type="dxa"/>
            <w:shd w:val="clear" w:color="auto" w:fill="F2F2F2"/>
          </w:tcPr>
          <w:p w14:paraId="7C818E7C" w14:textId="77777777" w:rsidR="003C045B" w:rsidRPr="00EE294E" w:rsidRDefault="003C045B" w:rsidP="003C045B">
            <w:pPr>
              <w:jc w:val="center"/>
              <w:rPr>
                <w:rFonts w:ascii="Times New Roman" w:eastAsia="Calibri" w:hAnsi="Times New Roman" w:cs="Times New Roman"/>
                <w:i/>
                <w:sz w:val="20"/>
                <w:szCs w:val="20"/>
              </w:rPr>
            </w:pPr>
          </w:p>
        </w:tc>
        <w:tc>
          <w:tcPr>
            <w:tcW w:w="5400" w:type="dxa"/>
            <w:shd w:val="clear" w:color="auto" w:fill="F2F2F2"/>
          </w:tcPr>
          <w:p w14:paraId="11441992" w14:textId="6DE11EE1" w:rsidR="003C045B" w:rsidRPr="00EE294E" w:rsidRDefault="003C045B" w:rsidP="003C045B">
            <w:pPr>
              <w:pStyle w:val="Heading2"/>
              <w:rPr>
                <w:rFonts w:ascii="Times New Roman" w:eastAsia="Calibri" w:hAnsi="Times New Roman" w:cs="Times New Roman"/>
                <w:i/>
                <w:color w:val="auto"/>
                <w:sz w:val="20"/>
                <w:szCs w:val="20"/>
              </w:rPr>
            </w:pPr>
          </w:p>
        </w:tc>
        <w:tc>
          <w:tcPr>
            <w:tcW w:w="450" w:type="dxa"/>
          </w:tcPr>
          <w:p w14:paraId="35014AD7" w14:textId="77777777" w:rsidR="003C045B" w:rsidRPr="00EE294E" w:rsidRDefault="003C045B" w:rsidP="003C045B">
            <w:pPr>
              <w:jc w:val="center"/>
              <w:rPr>
                <w:rFonts w:ascii="Times New Roman" w:eastAsia="Calibri" w:hAnsi="Times New Roman" w:cs="Times New Roman"/>
                <w:i/>
                <w:sz w:val="20"/>
                <w:szCs w:val="20"/>
              </w:rPr>
            </w:pPr>
          </w:p>
        </w:tc>
        <w:tc>
          <w:tcPr>
            <w:tcW w:w="644" w:type="dxa"/>
            <w:shd w:val="clear" w:color="auto" w:fill="F2F2F2"/>
          </w:tcPr>
          <w:p w14:paraId="142203CD" w14:textId="0CF1D83D" w:rsidR="003C045B" w:rsidRPr="00EE294E" w:rsidRDefault="003C045B" w:rsidP="003C045B">
            <w:pPr>
              <w:jc w:val="center"/>
              <w:rPr>
                <w:rFonts w:ascii="Times New Roman" w:eastAsia="Calibri" w:hAnsi="Times New Roman" w:cs="Times New Roman"/>
                <w:i/>
                <w:sz w:val="20"/>
                <w:szCs w:val="20"/>
              </w:rPr>
            </w:pPr>
          </w:p>
        </w:tc>
        <w:tc>
          <w:tcPr>
            <w:tcW w:w="5040" w:type="dxa"/>
            <w:shd w:val="clear" w:color="auto" w:fill="F2F2F2"/>
          </w:tcPr>
          <w:p w14:paraId="179AF4E9" w14:textId="77777777" w:rsidR="00201DBB" w:rsidRPr="00EE294E" w:rsidRDefault="00201DBB" w:rsidP="00201DBB">
            <w:pPr>
              <w:pStyle w:val="Heading3"/>
              <w:jc w:val="center"/>
              <w:rPr>
                <w:color w:val="000000" w:themeColor="text1"/>
                <w:sz w:val="20"/>
                <w:szCs w:val="20"/>
              </w:rPr>
            </w:pPr>
            <w:r w:rsidRPr="00EE294E">
              <w:rPr>
                <w:b w:val="0"/>
                <w:color w:val="000000" w:themeColor="text1"/>
                <w:sz w:val="20"/>
                <w:szCs w:val="20"/>
              </w:rPr>
              <w:t>Neni 3</w:t>
            </w:r>
          </w:p>
          <w:p w14:paraId="2EB23AA1" w14:textId="77777777" w:rsidR="00201DBB" w:rsidRPr="00EE294E" w:rsidRDefault="00201DBB" w:rsidP="00201DBB">
            <w:pPr>
              <w:keepNext/>
              <w:keepLines/>
              <w:spacing w:before="200"/>
              <w:jc w:val="center"/>
              <w:outlineLvl w:val="2"/>
              <w:rPr>
                <w:rFonts w:ascii="Times New Roman" w:eastAsia="Times New Roman" w:hAnsi="Times New Roman" w:cs="Times New Roman"/>
                <w:b/>
                <w:bCs/>
                <w:color w:val="000000" w:themeColor="text1"/>
                <w:sz w:val="20"/>
                <w:szCs w:val="20"/>
              </w:rPr>
            </w:pPr>
            <w:r w:rsidRPr="00EE294E">
              <w:rPr>
                <w:rFonts w:ascii="Times New Roman" w:hAnsi="Times New Roman" w:cs="Times New Roman"/>
                <w:b/>
                <w:color w:val="000000" w:themeColor="text1"/>
                <w:sz w:val="20"/>
                <w:szCs w:val="20"/>
              </w:rPr>
              <w:t>Fusha e zbatimit</w:t>
            </w:r>
          </w:p>
          <w:p w14:paraId="77F88E09" w14:textId="4AF67DAB" w:rsidR="003C045B" w:rsidRPr="00EE294E" w:rsidRDefault="003C045B" w:rsidP="007022FA">
            <w:pPr>
              <w:pStyle w:val="Heading3"/>
              <w:spacing w:line="240" w:lineRule="atLeast"/>
              <w:jc w:val="center"/>
              <w:rPr>
                <w:sz w:val="20"/>
                <w:szCs w:val="20"/>
              </w:rPr>
            </w:pPr>
          </w:p>
        </w:tc>
        <w:tc>
          <w:tcPr>
            <w:tcW w:w="720" w:type="dxa"/>
            <w:shd w:val="clear" w:color="auto" w:fill="F2F2F2"/>
          </w:tcPr>
          <w:p w14:paraId="156DE2D0" w14:textId="317F1CC1" w:rsidR="003C045B" w:rsidRPr="00EE294E" w:rsidRDefault="003C045B" w:rsidP="003C045B">
            <w:pPr>
              <w:jc w:val="center"/>
              <w:rPr>
                <w:rFonts w:ascii="Times New Roman" w:eastAsia="Calibri" w:hAnsi="Times New Roman" w:cs="Times New Roman"/>
                <w:i/>
                <w:sz w:val="20"/>
                <w:szCs w:val="20"/>
                <w:lang w:val="en-US"/>
              </w:rPr>
            </w:pPr>
          </w:p>
        </w:tc>
        <w:tc>
          <w:tcPr>
            <w:tcW w:w="3510" w:type="dxa"/>
            <w:shd w:val="clear" w:color="auto" w:fill="F2F2F2"/>
          </w:tcPr>
          <w:p w14:paraId="33A2FCA3" w14:textId="568B1A5C" w:rsidR="003C045B" w:rsidRPr="00EE294E" w:rsidRDefault="003C045B" w:rsidP="003C045B">
            <w:pPr>
              <w:rPr>
                <w:rFonts w:ascii="Times New Roman" w:eastAsia="Calibri" w:hAnsi="Times New Roman" w:cs="Times New Roman"/>
                <w:i/>
                <w:sz w:val="20"/>
                <w:szCs w:val="20"/>
                <w:lang w:val="en-US"/>
              </w:rPr>
            </w:pPr>
          </w:p>
        </w:tc>
      </w:tr>
      <w:tr w:rsidR="003C045B" w:rsidRPr="00EE294E" w14:paraId="65C77C64" w14:textId="77777777" w:rsidTr="004738EE">
        <w:trPr>
          <w:trHeight w:val="2085"/>
        </w:trPr>
        <w:tc>
          <w:tcPr>
            <w:tcW w:w="540" w:type="dxa"/>
          </w:tcPr>
          <w:p w14:paraId="6050527A" w14:textId="424C66A8" w:rsidR="003C045B" w:rsidRPr="00EE294E" w:rsidRDefault="003C045B" w:rsidP="003C045B">
            <w:pPr>
              <w:jc w:val="both"/>
              <w:rPr>
                <w:rFonts w:ascii="Times New Roman" w:eastAsia="Calibri" w:hAnsi="Times New Roman" w:cs="Times New Roman"/>
                <w:sz w:val="20"/>
                <w:szCs w:val="20"/>
                <w:lang w:val="en-US"/>
              </w:rPr>
            </w:pPr>
            <w:r w:rsidRPr="00EE294E">
              <w:rPr>
                <w:rFonts w:ascii="Times New Roman" w:eastAsia="Calibri" w:hAnsi="Times New Roman" w:cs="Times New Roman"/>
                <w:sz w:val="20"/>
                <w:szCs w:val="20"/>
                <w:lang w:val="en-US"/>
              </w:rPr>
              <w:t>1</w:t>
            </w:r>
          </w:p>
        </w:tc>
        <w:tc>
          <w:tcPr>
            <w:tcW w:w="5400" w:type="dxa"/>
          </w:tcPr>
          <w:p w14:paraId="13191D8A" w14:textId="727FD031" w:rsidR="003C045B" w:rsidRPr="00EE294E" w:rsidRDefault="003C045B" w:rsidP="003C045B">
            <w:pPr>
              <w:jc w:val="both"/>
              <w:rPr>
                <w:rFonts w:ascii="Times New Roman" w:eastAsia="Calibri" w:hAnsi="Times New Roman" w:cs="Times New Roman"/>
                <w:iCs/>
                <w:sz w:val="20"/>
                <w:szCs w:val="20"/>
                <w:lang w:val="en-US"/>
              </w:rPr>
            </w:pPr>
            <w:r w:rsidRPr="00EE294E">
              <w:rPr>
                <w:rFonts w:ascii="Times New Roman" w:eastAsia="Times New Roman" w:hAnsi="Times New Roman" w:cs="Times New Roman"/>
                <w:color w:val="333333"/>
                <w:sz w:val="20"/>
                <w:szCs w:val="20"/>
              </w:rPr>
              <w:t>Premabula,</w:t>
            </w:r>
          </w:p>
        </w:tc>
        <w:tc>
          <w:tcPr>
            <w:tcW w:w="450" w:type="dxa"/>
          </w:tcPr>
          <w:p w14:paraId="73A9F1D9" w14:textId="3AAB19BF" w:rsidR="003C045B" w:rsidRPr="00EE294E" w:rsidRDefault="003C045B" w:rsidP="003C045B">
            <w:pPr>
              <w:jc w:val="center"/>
              <w:rPr>
                <w:rFonts w:ascii="Times New Roman" w:eastAsia="Calibri" w:hAnsi="Times New Roman" w:cs="Times New Roman"/>
                <w:sz w:val="20"/>
                <w:szCs w:val="20"/>
              </w:rPr>
            </w:pPr>
            <w:r w:rsidRPr="00EE294E">
              <w:rPr>
                <w:rFonts w:ascii="Times New Roman" w:eastAsia="Calibri" w:hAnsi="Times New Roman" w:cs="Times New Roman"/>
                <w:sz w:val="20"/>
                <w:szCs w:val="20"/>
              </w:rPr>
              <w:t>1</w:t>
            </w:r>
          </w:p>
        </w:tc>
        <w:tc>
          <w:tcPr>
            <w:tcW w:w="644" w:type="dxa"/>
          </w:tcPr>
          <w:p w14:paraId="16B43562" w14:textId="33B8106C" w:rsidR="003C045B" w:rsidRPr="00EE294E" w:rsidRDefault="002A7599" w:rsidP="003C045B">
            <w:pPr>
              <w:jc w:val="center"/>
              <w:rPr>
                <w:rFonts w:ascii="Times New Roman" w:eastAsia="Calibri" w:hAnsi="Times New Roman" w:cs="Times New Roman"/>
                <w:sz w:val="20"/>
                <w:szCs w:val="20"/>
                <w:lang w:val="en-US"/>
              </w:rPr>
            </w:pPr>
            <w:r w:rsidRPr="00EE294E">
              <w:rPr>
                <w:rFonts w:ascii="Times New Roman" w:eastAsia="Calibri" w:hAnsi="Times New Roman" w:cs="Times New Roman"/>
                <w:sz w:val="20"/>
                <w:szCs w:val="20"/>
                <w:lang w:val="en-US"/>
              </w:rPr>
              <w:t>Neni 3</w:t>
            </w:r>
          </w:p>
        </w:tc>
        <w:tc>
          <w:tcPr>
            <w:tcW w:w="5040" w:type="dxa"/>
            <w:tcBorders>
              <w:bottom w:val="dashed" w:sz="4" w:space="0" w:color="auto"/>
            </w:tcBorders>
          </w:tcPr>
          <w:p w14:paraId="36A8A093" w14:textId="48BD458B" w:rsidR="00DF7851" w:rsidRPr="00EE294E" w:rsidRDefault="00DF7851" w:rsidP="00DF7851">
            <w:pPr>
              <w:rPr>
                <w:rFonts w:ascii="Times New Roman" w:eastAsia="Calibri" w:hAnsi="Times New Roman" w:cs="Times New Roman"/>
                <w:sz w:val="20"/>
                <w:szCs w:val="20"/>
              </w:rPr>
            </w:pPr>
          </w:p>
          <w:p w14:paraId="785A7ED0" w14:textId="514D2373" w:rsidR="00DF7851" w:rsidRPr="00EE294E" w:rsidRDefault="00DF7851" w:rsidP="00DF7851">
            <w:pPr>
              <w:rPr>
                <w:rFonts w:ascii="Times New Roman" w:eastAsia="Calibri" w:hAnsi="Times New Roman" w:cs="Times New Roman"/>
                <w:sz w:val="20"/>
                <w:szCs w:val="20"/>
              </w:rPr>
            </w:pPr>
            <w:r w:rsidRPr="00EE294E">
              <w:rPr>
                <w:rFonts w:ascii="Times New Roman" w:eastAsia="Calibri" w:hAnsi="Times New Roman" w:cs="Times New Roman"/>
                <w:sz w:val="20"/>
                <w:szCs w:val="20"/>
              </w:rPr>
              <w:t>1.</w:t>
            </w:r>
            <w:r w:rsidRPr="00EE294E">
              <w:rPr>
                <w:rFonts w:ascii="Times New Roman" w:eastAsia="Calibri" w:hAnsi="Times New Roman" w:cs="Times New Roman"/>
                <w:sz w:val="20"/>
                <w:szCs w:val="20"/>
              </w:rPr>
              <w:tab/>
              <w:t>Ky ligj zbatohet për të gjithë ofruesit e shërbimeve të pagesave të licencuar për ushtrimin e veprimtarisë në territorin e Republikës së Shqipërisë.</w:t>
            </w:r>
          </w:p>
          <w:p w14:paraId="42BFFAC2" w14:textId="77777777" w:rsidR="00DF7851" w:rsidRPr="00EE294E" w:rsidRDefault="00DF7851" w:rsidP="00DF7851">
            <w:pPr>
              <w:rPr>
                <w:rFonts w:ascii="Times New Roman" w:eastAsia="Calibri" w:hAnsi="Times New Roman" w:cs="Times New Roman"/>
                <w:sz w:val="20"/>
                <w:szCs w:val="20"/>
              </w:rPr>
            </w:pPr>
            <w:r w:rsidRPr="00EE294E">
              <w:rPr>
                <w:rFonts w:ascii="Times New Roman" w:eastAsia="Calibri" w:hAnsi="Times New Roman" w:cs="Times New Roman"/>
                <w:sz w:val="20"/>
                <w:szCs w:val="20"/>
              </w:rPr>
              <w:t>2.</w:t>
            </w:r>
            <w:r w:rsidRPr="00EE294E">
              <w:rPr>
                <w:rFonts w:ascii="Times New Roman" w:eastAsia="Calibri" w:hAnsi="Times New Roman" w:cs="Times New Roman"/>
                <w:sz w:val="20"/>
                <w:szCs w:val="20"/>
              </w:rPr>
              <w:tab/>
              <w:t>Ky ligj mbulon pagesat ndërkufitare të realizuara nga këta ofrues të shërbimeve të pagesave.</w:t>
            </w:r>
          </w:p>
          <w:p w14:paraId="076616A8" w14:textId="2C62EB9A" w:rsidR="003C045B" w:rsidRPr="00EE294E" w:rsidRDefault="00DF7851" w:rsidP="00DF7851">
            <w:pPr>
              <w:rPr>
                <w:rFonts w:ascii="Times New Roman" w:eastAsia="Calibri" w:hAnsi="Times New Roman" w:cs="Times New Roman"/>
                <w:sz w:val="20"/>
                <w:szCs w:val="20"/>
              </w:rPr>
            </w:pPr>
            <w:r w:rsidRPr="00EE294E">
              <w:rPr>
                <w:rFonts w:ascii="Times New Roman" w:eastAsia="Calibri" w:hAnsi="Times New Roman" w:cs="Times New Roman"/>
                <w:sz w:val="20"/>
                <w:szCs w:val="20"/>
              </w:rPr>
              <w:t>3.</w:t>
            </w:r>
            <w:r w:rsidRPr="00EE294E">
              <w:rPr>
                <w:rFonts w:ascii="Times New Roman" w:eastAsia="Calibri" w:hAnsi="Times New Roman" w:cs="Times New Roman"/>
                <w:sz w:val="20"/>
                <w:szCs w:val="20"/>
              </w:rPr>
              <w:tab/>
              <w:t xml:space="preserve">Zbatimi i këtij ligji nuk cënon detyrimet e ofruesve të shërbimeve të pagesave që burojnë nga legjislacioni për shërbimet e pagesave. </w:t>
            </w:r>
          </w:p>
          <w:p w14:paraId="05CBA041" w14:textId="5A479683" w:rsidR="00DF7851" w:rsidRPr="00EE294E" w:rsidRDefault="00DF7851" w:rsidP="00DF7851">
            <w:pPr>
              <w:rPr>
                <w:rFonts w:ascii="Times New Roman" w:eastAsia="Calibri" w:hAnsi="Times New Roman" w:cs="Times New Roman"/>
                <w:sz w:val="20"/>
                <w:szCs w:val="20"/>
              </w:rPr>
            </w:pPr>
          </w:p>
        </w:tc>
        <w:tc>
          <w:tcPr>
            <w:tcW w:w="720" w:type="dxa"/>
            <w:tcBorders>
              <w:bottom w:val="dashed" w:sz="4" w:space="0" w:color="auto"/>
            </w:tcBorders>
          </w:tcPr>
          <w:p w14:paraId="6FCF9030" w14:textId="7E85D828" w:rsidR="003C045B" w:rsidRPr="00EE294E" w:rsidRDefault="003C045B" w:rsidP="003C045B">
            <w:pPr>
              <w:jc w:val="center"/>
              <w:rPr>
                <w:rFonts w:ascii="Times New Roman" w:eastAsia="Calibri" w:hAnsi="Times New Roman" w:cs="Times New Roman"/>
                <w:sz w:val="20"/>
                <w:szCs w:val="20"/>
                <w:lang w:val="en-US"/>
              </w:rPr>
            </w:pPr>
            <w:r w:rsidRPr="00EE294E">
              <w:rPr>
                <w:rFonts w:ascii="Times New Roman" w:eastAsia="Calibri" w:hAnsi="Times New Roman" w:cs="Times New Roman"/>
                <w:sz w:val="20"/>
                <w:szCs w:val="20"/>
                <w:lang w:val="en-US"/>
              </w:rPr>
              <w:t>F</w:t>
            </w:r>
          </w:p>
        </w:tc>
        <w:tc>
          <w:tcPr>
            <w:tcW w:w="3510" w:type="dxa"/>
            <w:tcBorders>
              <w:bottom w:val="dashed" w:sz="4" w:space="0" w:color="auto"/>
            </w:tcBorders>
          </w:tcPr>
          <w:p w14:paraId="08DB7295" w14:textId="7EA7517D" w:rsidR="003C045B" w:rsidRPr="00EE294E" w:rsidRDefault="003C045B" w:rsidP="003C045B">
            <w:pPr>
              <w:rPr>
                <w:rFonts w:ascii="Times New Roman" w:eastAsia="Calibri" w:hAnsi="Times New Roman" w:cs="Times New Roman"/>
                <w:sz w:val="20"/>
                <w:szCs w:val="20"/>
                <w:lang w:val="en-US"/>
              </w:rPr>
            </w:pPr>
            <w:r w:rsidRPr="00EE294E">
              <w:rPr>
                <w:rFonts w:ascii="Times New Roman" w:eastAsia="Times New Roman" w:hAnsi="Times New Roman" w:cs="Times New Roman"/>
                <w:sz w:val="20"/>
                <w:szCs w:val="20"/>
              </w:rPr>
              <w:t>Plotësisht në përputhje.</w:t>
            </w:r>
          </w:p>
        </w:tc>
      </w:tr>
      <w:tr w:rsidR="003C045B" w:rsidRPr="00EE294E" w14:paraId="307841CB" w14:textId="77777777" w:rsidTr="00990A3C">
        <w:trPr>
          <w:trHeight w:val="836"/>
        </w:trPr>
        <w:tc>
          <w:tcPr>
            <w:tcW w:w="540" w:type="dxa"/>
            <w:shd w:val="clear" w:color="auto" w:fill="D0CECE" w:themeFill="background2" w:themeFillShade="E6"/>
          </w:tcPr>
          <w:p w14:paraId="30FC065C" w14:textId="4F80A36D" w:rsidR="003C045B" w:rsidRPr="00EE294E" w:rsidRDefault="003C045B" w:rsidP="003C045B">
            <w:pPr>
              <w:jc w:val="both"/>
              <w:rPr>
                <w:rFonts w:ascii="Times New Roman" w:eastAsia="Calibri" w:hAnsi="Times New Roman" w:cs="Times New Roman"/>
                <w:i/>
                <w:iCs/>
                <w:sz w:val="20"/>
                <w:szCs w:val="20"/>
                <w:lang w:val="en-US"/>
              </w:rPr>
            </w:pPr>
            <w:r w:rsidRPr="00EE294E">
              <w:rPr>
                <w:rFonts w:ascii="Times New Roman" w:eastAsia="Calibri" w:hAnsi="Times New Roman" w:cs="Times New Roman"/>
                <w:i/>
                <w:iCs/>
                <w:sz w:val="20"/>
                <w:szCs w:val="20"/>
                <w:lang w:val="en-US"/>
              </w:rPr>
              <w:t>1</w:t>
            </w:r>
          </w:p>
        </w:tc>
        <w:tc>
          <w:tcPr>
            <w:tcW w:w="5400" w:type="dxa"/>
            <w:shd w:val="clear" w:color="auto" w:fill="D0CECE" w:themeFill="background2" w:themeFillShade="E6"/>
          </w:tcPr>
          <w:p w14:paraId="5ACEBAC2" w14:textId="77777777" w:rsidR="003C045B" w:rsidRPr="00EE294E" w:rsidRDefault="003C045B" w:rsidP="003C045B">
            <w:pPr>
              <w:pStyle w:val="oj-ti-art"/>
              <w:shd w:val="clear" w:color="auto" w:fill="FFFFFF"/>
              <w:spacing w:before="360" w:beforeAutospacing="0" w:after="120" w:afterAutospacing="0"/>
              <w:jc w:val="center"/>
              <w:rPr>
                <w:i/>
                <w:iCs/>
                <w:color w:val="333333"/>
                <w:sz w:val="20"/>
                <w:szCs w:val="20"/>
              </w:rPr>
            </w:pPr>
            <w:r w:rsidRPr="00EE294E">
              <w:rPr>
                <w:i/>
                <w:iCs/>
                <w:color w:val="333333"/>
                <w:sz w:val="20"/>
                <w:szCs w:val="20"/>
              </w:rPr>
              <w:t>Neni 243a</w:t>
            </w:r>
          </w:p>
          <w:p w14:paraId="4F8CBED4" w14:textId="73FACCA3" w:rsidR="003C045B" w:rsidRPr="00EE294E" w:rsidRDefault="003C045B" w:rsidP="003C045B">
            <w:pPr>
              <w:jc w:val="center"/>
              <w:rPr>
                <w:rFonts w:ascii="Times New Roman" w:eastAsia="Calibri" w:hAnsi="Times New Roman" w:cs="Times New Roman"/>
                <w:i/>
                <w:iCs/>
                <w:sz w:val="20"/>
                <w:szCs w:val="20"/>
                <w:lang w:val="en-US"/>
              </w:rPr>
            </w:pPr>
          </w:p>
        </w:tc>
        <w:tc>
          <w:tcPr>
            <w:tcW w:w="450" w:type="dxa"/>
            <w:shd w:val="clear" w:color="auto" w:fill="D0CECE" w:themeFill="background2" w:themeFillShade="E6"/>
          </w:tcPr>
          <w:p w14:paraId="531B1028" w14:textId="03AF37C2" w:rsidR="003C045B" w:rsidRPr="00EE294E" w:rsidRDefault="003C045B" w:rsidP="003C045B">
            <w:pPr>
              <w:jc w:val="center"/>
              <w:rPr>
                <w:rFonts w:ascii="Times New Roman" w:eastAsia="Calibri" w:hAnsi="Times New Roman" w:cs="Times New Roman"/>
                <w:i/>
                <w:iCs/>
                <w:sz w:val="20"/>
                <w:szCs w:val="20"/>
              </w:rPr>
            </w:pPr>
          </w:p>
        </w:tc>
        <w:tc>
          <w:tcPr>
            <w:tcW w:w="644" w:type="dxa"/>
            <w:shd w:val="clear" w:color="auto" w:fill="D0CECE" w:themeFill="background2" w:themeFillShade="E6"/>
          </w:tcPr>
          <w:p w14:paraId="3A369060" w14:textId="7A615964" w:rsidR="003C045B" w:rsidRPr="00EE294E" w:rsidRDefault="003C045B" w:rsidP="003C045B">
            <w:pPr>
              <w:jc w:val="center"/>
              <w:rPr>
                <w:rFonts w:ascii="Times New Roman" w:eastAsia="Calibri" w:hAnsi="Times New Roman" w:cs="Times New Roman"/>
                <w:i/>
                <w:iCs/>
                <w:sz w:val="20"/>
                <w:szCs w:val="20"/>
                <w:lang w:val="en-US"/>
              </w:rPr>
            </w:pPr>
          </w:p>
        </w:tc>
        <w:tc>
          <w:tcPr>
            <w:tcW w:w="5040" w:type="dxa"/>
            <w:tcBorders>
              <w:bottom w:val="dashed" w:sz="4" w:space="0" w:color="auto"/>
            </w:tcBorders>
            <w:shd w:val="clear" w:color="auto" w:fill="D0CECE" w:themeFill="background2" w:themeFillShade="E6"/>
          </w:tcPr>
          <w:p w14:paraId="12E34D14" w14:textId="77777777" w:rsidR="00201DBB" w:rsidRPr="00EE294E" w:rsidRDefault="00201DBB" w:rsidP="00201DBB">
            <w:pPr>
              <w:spacing w:line="360" w:lineRule="auto"/>
              <w:jc w:val="center"/>
              <w:rPr>
                <w:rFonts w:ascii="Times New Roman" w:hAnsi="Times New Roman" w:cs="Times New Roman"/>
                <w:b/>
                <w:bCs/>
                <w:sz w:val="20"/>
                <w:szCs w:val="20"/>
              </w:rPr>
            </w:pPr>
            <w:r w:rsidRPr="00EE294E">
              <w:rPr>
                <w:rFonts w:ascii="Times New Roman" w:hAnsi="Times New Roman" w:cs="Times New Roman"/>
                <w:b/>
                <w:sz w:val="20"/>
                <w:szCs w:val="20"/>
              </w:rPr>
              <w:t>Neni 4</w:t>
            </w:r>
          </w:p>
          <w:p w14:paraId="3510BD5A" w14:textId="77777777" w:rsidR="00201DBB" w:rsidRPr="00EE294E" w:rsidRDefault="00201DBB" w:rsidP="00201DBB">
            <w:pPr>
              <w:spacing w:line="360" w:lineRule="auto"/>
              <w:jc w:val="center"/>
              <w:rPr>
                <w:rFonts w:ascii="Times New Roman" w:hAnsi="Times New Roman" w:cs="Times New Roman"/>
                <w:b/>
                <w:bCs/>
                <w:sz w:val="20"/>
                <w:szCs w:val="20"/>
              </w:rPr>
            </w:pPr>
            <w:r w:rsidRPr="00EE294E">
              <w:rPr>
                <w:rFonts w:ascii="Times New Roman" w:hAnsi="Times New Roman" w:cs="Times New Roman"/>
                <w:b/>
                <w:sz w:val="20"/>
                <w:szCs w:val="20"/>
              </w:rPr>
              <w:t>Përkufizime</w:t>
            </w:r>
          </w:p>
          <w:p w14:paraId="5A4D9807" w14:textId="13147B4D" w:rsidR="003C045B" w:rsidRPr="00EE294E" w:rsidRDefault="003C045B" w:rsidP="003C045B">
            <w:pPr>
              <w:jc w:val="center"/>
              <w:rPr>
                <w:rFonts w:ascii="Times New Roman" w:hAnsi="Times New Roman" w:cs="Times New Roman"/>
                <w:i/>
                <w:iCs/>
                <w:sz w:val="20"/>
                <w:szCs w:val="20"/>
              </w:rPr>
            </w:pPr>
          </w:p>
        </w:tc>
        <w:tc>
          <w:tcPr>
            <w:tcW w:w="720" w:type="dxa"/>
            <w:tcBorders>
              <w:bottom w:val="dashed" w:sz="4" w:space="0" w:color="auto"/>
            </w:tcBorders>
            <w:shd w:val="clear" w:color="auto" w:fill="D0CECE" w:themeFill="background2" w:themeFillShade="E6"/>
          </w:tcPr>
          <w:p w14:paraId="6DCE269F" w14:textId="3A19D692" w:rsidR="003C045B" w:rsidRPr="00EE294E" w:rsidRDefault="003C045B" w:rsidP="003C045B">
            <w:pPr>
              <w:jc w:val="center"/>
              <w:rPr>
                <w:rFonts w:ascii="Times New Roman" w:eastAsia="Calibri" w:hAnsi="Times New Roman" w:cs="Times New Roman"/>
                <w:i/>
                <w:iCs/>
                <w:sz w:val="20"/>
                <w:szCs w:val="20"/>
                <w:lang w:val="en-US"/>
              </w:rPr>
            </w:pPr>
          </w:p>
        </w:tc>
        <w:tc>
          <w:tcPr>
            <w:tcW w:w="3510" w:type="dxa"/>
            <w:tcBorders>
              <w:bottom w:val="dashed" w:sz="4" w:space="0" w:color="auto"/>
            </w:tcBorders>
            <w:shd w:val="clear" w:color="auto" w:fill="D0CECE" w:themeFill="background2" w:themeFillShade="E6"/>
          </w:tcPr>
          <w:p w14:paraId="18AC990D" w14:textId="77777777" w:rsidR="003C045B" w:rsidRPr="00EE294E" w:rsidRDefault="003C045B" w:rsidP="003C045B">
            <w:pPr>
              <w:rPr>
                <w:rFonts w:ascii="Times New Roman" w:eastAsia="Calibri" w:hAnsi="Times New Roman" w:cs="Times New Roman"/>
                <w:i/>
                <w:iCs/>
                <w:sz w:val="20"/>
                <w:szCs w:val="20"/>
                <w:lang w:val="en-US"/>
              </w:rPr>
            </w:pPr>
          </w:p>
        </w:tc>
      </w:tr>
      <w:tr w:rsidR="003C045B" w:rsidRPr="00EE294E" w14:paraId="7D4505B4" w14:textId="77777777" w:rsidTr="007022FA">
        <w:trPr>
          <w:trHeight w:val="6848"/>
        </w:trPr>
        <w:tc>
          <w:tcPr>
            <w:tcW w:w="540" w:type="dxa"/>
          </w:tcPr>
          <w:p w14:paraId="1080D9D2" w14:textId="139AC4B4" w:rsidR="003C045B" w:rsidRPr="00EE294E" w:rsidRDefault="003C045B" w:rsidP="003C045B">
            <w:pPr>
              <w:jc w:val="both"/>
              <w:rPr>
                <w:rFonts w:ascii="Times New Roman" w:eastAsia="Calibri" w:hAnsi="Times New Roman" w:cs="Times New Roman"/>
                <w:sz w:val="20"/>
                <w:szCs w:val="20"/>
                <w:lang w:val="en-US"/>
              </w:rPr>
            </w:pPr>
          </w:p>
        </w:tc>
        <w:tc>
          <w:tcPr>
            <w:tcW w:w="5400" w:type="dxa"/>
          </w:tcPr>
          <w:p w14:paraId="60D6EF19" w14:textId="77777777" w:rsidR="003C045B" w:rsidRPr="00EE294E" w:rsidRDefault="003C045B" w:rsidP="003C045B">
            <w:pPr>
              <w:pStyle w:val="oj-normal"/>
              <w:shd w:val="clear" w:color="auto" w:fill="FFFFFF"/>
              <w:spacing w:before="120" w:beforeAutospacing="0" w:after="0" w:afterAutospacing="0"/>
              <w:jc w:val="both"/>
              <w:rPr>
                <w:color w:val="333333"/>
                <w:sz w:val="20"/>
                <w:szCs w:val="20"/>
              </w:rPr>
            </w:pPr>
            <w:r w:rsidRPr="00EE294E">
              <w:rPr>
                <w:color w:val="333333"/>
                <w:sz w:val="20"/>
                <w:szCs w:val="20"/>
              </w:rPr>
              <w:t>Për qëllimet e këtij Seksioni, zbatohen përkufizimet e mëposhtme: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83"/>
              <w:gridCol w:w="5001"/>
            </w:tblGrid>
            <w:tr w:rsidR="003C045B" w:rsidRPr="00EE294E" w14:paraId="2AD8FCF3" w14:textId="77777777" w:rsidTr="0042577F">
              <w:tc>
                <w:tcPr>
                  <w:tcW w:w="315" w:type="dxa"/>
                  <w:shd w:val="clear" w:color="auto" w:fill="FFFFFF"/>
                  <w:hideMark/>
                </w:tcPr>
                <w:p w14:paraId="309F8360" w14:textId="77777777" w:rsidR="003C045B" w:rsidRPr="00EE294E" w:rsidRDefault="003C045B" w:rsidP="003C045B">
                  <w:pPr>
                    <w:pStyle w:val="oj-normal"/>
                    <w:spacing w:before="120" w:beforeAutospacing="0" w:after="0" w:afterAutospacing="0"/>
                    <w:jc w:val="both"/>
                    <w:rPr>
                      <w:color w:val="333333"/>
                      <w:sz w:val="20"/>
                      <w:szCs w:val="20"/>
                    </w:rPr>
                  </w:pPr>
                  <w:r w:rsidRPr="00EE294E">
                    <w:rPr>
                      <w:color w:val="333333"/>
                      <w:sz w:val="20"/>
                      <w:szCs w:val="20"/>
                    </w:rPr>
                    <w:t>(1)</w:t>
                  </w:r>
                </w:p>
              </w:tc>
              <w:tc>
                <w:tcPr>
                  <w:tcW w:w="9045" w:type="dxa"/>
                  <w:shd w:val="clear" w:color="auto" w:fill="FFFFFF"/>
                  <w:hideMark/>
                </w:tcPr>
                <w:p w14:paraId="727FC5ED" w14:textId="77777777" w:rsidR="003C045B" w:rsidRPr="00EE294E" w:rsidRDefault="003C045B" w:rsidP="003C045B">
                  <w:pPr>
                    <w:pStyle w:val="oj-normal"/>
                    <w:spacing w:before="120" w:beforeAutospacing="0" w:after="0" w:afterAutospacing="0"/>
                    <w:jc w:val="both"/>
                    <w:rPr>
                      <w:color w:val="333333"/>
                      <w:sz w:val="20"/>
                      <w:szCs w:val="20"/>
                    </w:rPr>
                  </w:pPr>
                  <w:r w:rsidRPr="00EE294E">
                    <w:rPr>
                      <w:color w:val="333333"/>
                      <w:sz w:val="20"/>
                      <w:szCs w:val="20"/>
                    </w:rPr>
                    <w:t xml:space="preserve">“ofrues i shërbimit të pagesave” do të thotë çdo kategori e ofruesve të shërbimit të pagesave të listuara në pikat (a) deri në (d) të nenit 1(1) të Direktivës (BE) 2015/2366 të Parlamentit Evropian dhe të Këshillit </w:t>
                  </w:r>
                  <w:r w:rsidRPr="00EE294E">
                    <w:fldChar w:fldCharType="begin"/>
                  </w:r>
                  <w:r w:rsidRPr="00EE294E">
                    <w:rPr>
                      <w:sz w:val="20"/>
                      <w:szCs w:val="20"/>
                    </w:rPr>
                    <w:instrText>HYPERLINK "https://eur-lex.europa.eu/eli/dir/2020/284/oj" \l "ntr*1-L_2020062EN.01000701-E0010"</w:instrText>
                  </w:r>
                  <w:r w:rsidRPr="00EE294E">
                    <w:fldChar w:fldCharType="separate"/>
                  </w:r>
                  <w:r w:rsidRPr="00EE294E">
                    <w:rPr>
                      <w:rStyle w:val="Hyperlink"/>
                      <w:color w:val="0E47CB"/>
                      <w:sz w:val="20"/>
                      <w:szCs w:val="20"/>
                    </w:rPr>
                    <w:t xml:space="preserve">( </w:t>
                  </w:r>
                  <w:r w:rsidRPr="00EE294E">
                    <w:rPr>
                      <w:rStyle w:val="Hyperlink"/>
                      <w:color w:val="0E47CB"/>
                      <w:sz w:val="20"/>
                      <w:szCs w:val="20"/>
                    </w:rPr>
                    <w:fldChar w:fldCharType="end"/>
                  </w:r>
                  <w:hyperlink r:id="rId8" w:anchor="ntr*1-L_2020062EN.01000701-E0010" w:history="1">
                    <w:r w:rsidRPr="00EE294E">
                      <w:rPr>
                        <w:rStyle w:val="oj-super"/>
                        <w:color w:val="0E47CB"/>
                        <w:sz w:val="20"/>
                        <w:szCs w:val="20"/>
                      </w:rPr>
                      <w:t xml:space="preserve">*1 </w:t>
                    </w:r>
                  </w:hyperlink>
                  <w:hyperlink r:id="rId9" w:anchor="ntr*1-L_2020062EN.01000701-E0010" w:history="1">
                    <w:r w:rsidRPr="00EE294E">
                      <w:rPr>
                        <w:rStyle w:val="Hyperlink"/>
                        <w:color w:val="0E47CB"/>
                        <w:sz w:val="20"/>
                        <w:szCs w:val="20"/>
                      </w:rPr>
                      <w:t xml:space="preserve">) </w:t>
                    </w:r>
                  </w:hyperlink>
                  <w:r w:rsidRPr="00EE294E">
                    <w:rPr>
                      <w:color w:val="333333"/>
                      <w:sz w:val="20"/>
                      <w:szCs w:val="20"/>
                    </w:rPr>
                    <w:t>ose një person fizik ose juridik që përfiton nga një përjashtim në përputhje me nenin 32 të asaj direktive;</w:t>
                  </w:r>
                </w:p>
              </w:tc>
            </w:tr>
          </w:tbl>
          <w:p w14:paraId="616CC6D3" w14:textId="77777777" w:rsidR="003C045B" w:rsidRPr="00EE294E" w:rsidRDefault="003C045B" w:rsidP="003C045B">
            <w:pPr>
              <w:rPr>
                <w:rFonts w:ascii="Times New Roman" w:hAnsi="Times New Roman" w:cs="Times New Roman"/>
                <w:vanish/>
                <w:sz w:val="20"/>
                <w:szCs w:val="20"/>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83"/>
              <w:gridCol w:w="5001"/>
            </w:tblGrid>
            <w:tr w:rsidR="003C045B" w:rsidRPr="00EE294E" w14:paraId="17A7E30C" w14:textId="77777777" w:rsidTr="0042577F">
              <w:tc>
                <w:tcPr>
                  <w:tcW w:w="315" w:type="dxa"/>
                  <w:shd w:val="clear" w:color="auto" w:fill="FFFFFF"/>
                  <w:hideMark/>
                </w:tcPr>
                <w:p w14:paraId="2514709C" w14:textId="77777777" w:rsidR="003C045B" w:rsidRPr="00EE294E" w:rsidRDefault="003C045B" w:rsidP="003C045B">
                  <w:pPr>
                    <w:pStyle w:val="oj-normal"/>
                    <w:spacing w:before="120" w:beforeAutospacing="0" w:after="0" w:afterAutospacing="0"/>
                    <w:jc w:val="both"/>
                    <w:rPr>
                      <w:color w:val="333333"/>
                      <w:sz w:val="20"/>
                      <w:szCs w:val="20"/>
                    </w:rPr>
                  </w:pPr>
                  <w:r w:rsidRPr="00EE294E">
                    <w:rPr>
                      <w:color w:val="333333"/>
                      <w:sz w:val="20"/>
                      <w:szCs w:val="20"/>
                    </w:rPr>
                    <w:t>(2)</w:t>
                  </w:r>
                </w:p>
              </w:tc>
              <w:tc>
                <w:tcPr>
                  <w:tcW w:w="9045" w:type="dxa"/>
                  <w:shd w:val="clear" w:color="auto" w:fill="FFFFFF"/>
                  <w:hideMark/>
                </w:tcPr>
                <w:p w14:paraId="1C30CFFD" w14:textId="77777777" w:rsidR="003C045B" w:rsidRPr="00EE294E" w:rsidRDefault="003C045B" w:rsidP="003C045B">
                  <w:pPr>
                    <w:pStyle w:val="oj-normal"/>
                    <w:spacing w:before="120" w:beforeAutospacing="0" w:after="0" w:afterAutospacing="0"/>
                    <w:jc w:val="both"/>
                    <w:rPr>
                      <w:color w:val="333333"/>
                      <w:sz w:val="20"/>
                      <w:szCs w:val="20"/>
                    </w:rPr>
                  </w:pPr>
                  <w:r w:rsidRPr="00EE294E">
                    <w:rPr>
                      <w:color w:val="333333"/>
                      <w:sz w:val="20"/>
                      <w:szCs w:val="20"/>
                    </w:rPr>
                    <w:t>“shërbim pagesash” do të thotë çdo aktivitet biznesi i përcaktuar në pikat (3) deri në (6) të Shtojcës I të Direktivës (BE) 2015/2366;</w:t>
                  </w:r>
                </w:p>
              </w:tc>
            </w:tr>
          </w:tbl>
          <w:p w14:paraId="1EBDF770" w14:textId="77777777" w:rsidR="003C045B" w:rsidRPr="00EE294E" w:rsidRDefault="003C045B" w:rsidP="003C045B">
            <w:pPr>
              <w:rPr>
                <w:rFonts w:ascii="Times New Roman" w:hAnsi="Times New Roman" w:cs="Times New Roman"/>
                <w:vanish/>
                <w:sz w:val="20"/>
                <w:szCs w:val="20"/>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83"/>
              <w:gridCol w:w="5001"/>
            </w:tblGrid>
            <w:tr w:rsidR="003C045B" w:rsidRPr="00EE294E" w14:paraId="6D7EBF79" w14:textId="77777777" w:rsidTr="0042577F">
              <w:tc>
                <w:tcPr>
                  <w:tcW w:w="315" w:type="dxa"/>
                  <w:shd w:val="clear" w:color="auto" w:fill="FFFFFF"/>
                  <w:hideMark/>
                </w:tcPr>
                <w:p w14:paraId="78CA4060" w14:textId="77777777" w:rsidR="003C045B" w:rsidRPr="00EE294E" w:rsidRDefault="003C045B" w:rsidP="003C045B">
                  <w:pPr>
                    <w:pStyle w:val="oj-normal"/>
                    <w:spacing w:before="120" w:beforeAutospacing="0" w:after="0" w:afterAutospacing="0"/>
                    <w:jc w:val="both"/>
                    <w:rPr>
                      <w:color w:val="333333"/>
                      <w:sz w:val="20"/>
                      <w:szCs w:val="20"/>
                    </w:rPr>
                  </w:pPr>
                  <w:r w:rsidRPr="00EE294E">
                    <w:rPr>
                      <w:color w:val="333333"/>
                      <w:sz w:val="20"/>
                      <w:szCs w:val="20"/>
                    </w:rPr>
                    <w:t>(3)</w:t>
                  </w:r>
                </w:p>
              </w:tc>
              <w:tc>
                <w:tcPr>
                  <w:tcW w:w="9045" w:type="dxa"/>
                  <w:shd w:val="clear" w:color="auto" w:fill="FFFFFF"/>
                  <w:hideMark/>
                </w:tcPr>
                <w:p w14:paraId="0214A807" w14:textId="77777777" w:rsidR="003C045B" w:rsidRPr="00EE294E" w:rsidRDefault="003C045B" w:rsidP="003C045B">
                  <w:pPr>
                    <w:pStyle w:val="oj-normal"/>
                    <w:spacing w:before="120" w:beforeAutospacing="0" w:after="0" w:afterAutospacing="0"/>
                    <w:jc w:val="both"/>
                    <w:rPr>
                      <w:color w:val="333333"/>
                      <w:sz w:val="20"/>
                      <w:szCs w:val="20"/>
                    </w:rPr>
                  </w:pPr>
                  <w:r w:rsidRPr="00EE294E">
                    <w:rPr>
                      <w:color w:val="333333"/>
                      <w:sz w:val="20"/>
                      <w:szCs w:val="20"/>
                    </w:rPr>
                    <w:t>“pagesë” do të thotë, në varësi të përjashtimeve të parashikuara në Nenin 3 të Direktivës (BE) 2015/2366, një “transaksion pagese” siç përcaktohet në pikën (5) të Nenit 4 të asaj Direktive ose një “dërgesë parash” siç përcaktohet në pikën (22) të Nenit 4 të asaj Direktive;</w:t>
                  </w:r>
                </w:p>
              </w:tc>
            </w:tr>
          </w:tbl>
          <w:p w14:paraId="3284883C" w14:textId="77777777" w:rsidR="003C045B" w:rsidRPr="00EE294E" w:rsidRDefault="003C045B" w:rsidP="003C045B">
            <w:pPr>
              <w:rPr>
                <w:rFonts w:ascii="Times New Roman" w:hAnsi="Times New Roman" w:cs="Times New Roman"/>
                <w:vanish/>
                <w:sz w:val="20"/>
                <w:szCs w:val="20"/>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83"/>
              <w:gridCol w:w="5001"/>
            </w:tblGrid>
            <w:tr w:rsidR="003C045B" w:rsidRPr="00EE294E" w14:paraId="3B871C0A" w14:textId="77777777" w:rsidTr="0042577F">
              <w:tc>
                <w:tcPr>
                  <w:tcW w:w="315" w:type="dxa"/>
                  <w:shd w:val="clear" w:color="auto" w:fill="FFFFFF"/>
                  <w:hideMark/>
                </w:tcPr>
                <w:p w14:paraId="216B3958" w14:textId="77777777" w:rsidR="003C045B" w:rsidRPr="00EE294E" w:rsidRDefault="003C045B" w:rsidP="003C045B">
                  <w:pPr>
                    <w:pStyle w:val="oj-normal"/>
                    <w:spacing w:before="120" w:beforeAutospacing="0" w:after="0" w:afterAutospacing="0"/>
                    <w:jc w:val="both"/>
                    <w:rPr>
                      <w:color w:val="333333"/>
                      <w:sz w:val="20"/>
                      <w:szCs w:val="20"/>
                    </w:rPr>
                  </w:pPr>
                  <w:r w:rsidRPr="00EE294E">
                    <w:rPr>
                      <w:color w:val="333333"/>
                      <w:sz w:val="20"/>
                      <w:szCs w:val="20"/>
                    </w:rPr>
                    <w:t>(4)</w:t>
                  </w:r>
                </w:p>
              </w:tc>
              <w:tc>
                <w:tcPr>
                  <w:tcW w:w="9045" w:type="dxa"/>
                  <w:shd w:val="clear" w:color="auto" w:fill="FFFFFF"/>
                  <w:hideMark/>
                </w:tcPr>
                <w:p w14:paraId="2983ACC0" w14:textId="77777777" w:rsidR="003C045B" w:rsidRPr="00EE294E" w:rsidRDefault="003C045B" w:rsidP="003C045B">
                  <w:pPr>
                    <w:pStyle w:val="oj-normal"/>
                    <w:spacing w:before="120" w:beforeAutospacing="0" w:after="0" w:afterAutospacing="0"/>
                    <w:jc w:val="both"/>
                    <w:rPr>
                      <w:color w:val="333333"/>
                      <w:sz w:val="20"/>
                      <w:szCs w:val="20"/>
                    </w:rPr>
                  </w:pPr>
                  <w:r w:rsidRPr="00EE294E">
                    <w:rPr>
                      <w:color w:val="333333"/>
                      <w:sz w:val="20"/>
                      <w:szCs w:val="20"/>
                    </w:rPr>
                    <w:t>“pagues” do të thotë “pagues” siç përcaktohet në pikën (8) të nenit 4 të Direktivës (BE) 2015/2366;</w:t>
                  </w:r>
                </w:p>
              </w:tc>
            </w:tr>
          </w:tbl>
          <w:p w14:paraId="494B80C0" w14:textId="77777777" w:rsidR="003C045B" w:rsidRPr="00EE294E" w:rsidRDefault="003C045B" w:rsidP="003C045B">
            <w:pPr>
              <w:rPr>
                <w:rFonts w:ascii="Times New Roman" w:hAnsi="Times New Roman" w:cs="Times New Roman"/>
                <w:vanish/>
                <w:sz w:val="20"/>
                <w:szCs w:val="20"/>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83"/>
              <w:gridCol w:w="5001"/>
            </w:tblGrid>
            <w:tr w:rsidR="003C045B" w:rsidRPr="00EE294E" w14:paraId="23E0A257" w14:textId="77777777" w:rsidTr="0042577F">
              <w:tc>
                <w:tcPr>
                  <w:tcW w:w="315" w:type="dxa"/>
                  <w:shd w:val="clear" w:color="auto" w:fill="FFFFFF"/>
                  <w:hideMark/>
                </w:tcPr>
                <w:p w14:paraId="70972CC6" w14:textId="77777777" w:rsidR="003C045B" w:rsidRPr="00EE294E" w:rsidRDefault="003C045B" w:rsidP="003C045B">
                  <w:pPr>
                    <w:pStyle w:val="oj-normal"/>
                    <w:spacing w:before="120" w:beforeAutospacing="0" w:after="0" w:afterAutospacing="0"/>
                    <w:jc w:val="both"/>
                    <w:rPr>
                      <w:color w:val="333333"/>
                      <w:sz w:val="20"/>
                      <w:szCs w:val="20"/>
                    </w:rPr>
                  </w:pPr>
                  <w:r w:rsidRPr="00EE294E">
                    <w:rPr>
                      <w:color w:val="333333"/>
                      <w:sz w:val="20"/>
                      <w:szCs w:val="20"/>
                    </w:rPr>
                    <w:t>(5)</w:t>
                  </w:r>
                </w:p>
              </w:tc>
              <w:tc>
                <w:tcPr>
                  <w:tcW w:w="9045" w:type="dxa"/>
                  <w:shd w:val="clear" w:color="auto" w:fill="FFFFFF"/>
                  <w:hideMark/>
                </w:tcPr>
                <w:p w14:paraId="729D9EC3" w14:textId="77777777" w:rsidR="003C045B" w:rsidRPr="00EE294E" w:rsidRDefault="003C045B" w:rsidP="003C045B">
                  <w:pPr>
                    <w:pStyle w:val="oj-normal"/>
                    <w:spacing w:before="120" w:beforeAutospacing="0" w:after="0" w:afterAutospacing="0"/>
                    <w:jc w:val="both"/>
                    <w:rPr>
                      <w:color w:val="333333"/>
                      <w:sz w:val="20"/>
                      <w:szCs w:val="20"/>
                    </w:rPr>
                  </w:pPr>
                  <w:r w:rsidRPr="00EE294E">
                    <w:rPr>
                      <w:color w:val="333333"/>
                      <w:sz w:val="20"/>
                      <w:szCs w:val="20"/>
                    </w:rPr>
                    <w:t>“përfitues i pagesës” do të thotë “përfitues i pagesës” siç përcaktohet në pikën (9) të Nenit 4 të Direktivës (BE) 2015/2366;</w:t>
                  </w:r>
                </w:p>
              </w:tc>
            </w:tr>
          </w:tbl>
          <w:p w14:paraId="7BC0B50D" w14:textId="77777777" w:rsidR="003C045B" w:rsidRPr="00EE294E" w:rsidRDefault="003C045B" w:rsidP="003C045B">
            <w:pPr>
              <w:rPr>
                <w:rFonts w:ascii="Times New Roman" w:hAnsi="Times New Roman" w:cs="Times New Roman"/>
                <w:vanish/>
                <w:sz w:val="20"/>
                <w:szCs w:val="20"/>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83"/>
              <w:gridCol w:w="5001"/>
            </w:tblGrid>
            <w:tr w:rsidR="003C045B" w:rsidRPr="00EE294E" w14:paraId="608AA7DB" w14:textId="77777777" w:rsidTr="0042577F">
              <w:tc>
                <w:tcPr>
                  <w:tcW w:w="315" w:type="dxa"/>
                  <w:shd w:val="clear" w:color="auto" w:fill="FFFFFF"/>
                  <w:hideMark/>
                </w:tcPr>
                <w:p w14:paraId="2AEE9E92" w14:textId="77777777" w:rsidR="003C045B" w:rsidRPr="00EE294E" w:rsidRDefault="003C045B" w:rsidP="003C045B">
                  <w:pPr>
                    <w:pStyle w:val="oj-normal"/>
                    <w:spacing w:before="120" w:beforeAutospacing="0" w:after="0" w:afterAutospacing="0"/>
                    <w:jc w:val="both"/>
                    <w:rPr>
                      <w:color w:val="333333"/>
                      <w:sz w:val="20"/>
                      <w:szCs w:val="20"/>
                    </w:rPr>
                  </w:pPr>
                  <w:r w:rsidRPr="00EE294E">
                    <w:rPr>
                      <w:color w:val="333333"/>
                      <w:sz w:val="20"/>
                      <w:szCs w:val="20"/>
                    </w:rPr>
                    <w:t>(6)</w:t>
                  </w:r>
                </w:p>
              </w:tc>
              <w:tc>
                <w:tcPr>
                  <w:tcW w:w="9045" w:type="dxa"/>
                  <w:shd w:val="clear" w:color="auto" w:fill="FFFFFF"/>
                  <w:hideMark/>
                </w:tcPr>
                <w:p w14:paraId="1F4621C8" w14:textId="77777777" w:rsidR="003C045B" w:rsidRPr="00EE294E" w:rsidRDefault="003C045B" w:rsidP="003C045B">
                  <w:pPr>
                    <w:pStyle w:val="oj-normal"/>
                    <w:spacing w:before="120" w:beforeAutospacing="0" w:after="0" w:afterAutospacing="0"/>
                    <w:jc w:val="both"/>
                    <w:rPr>
                      <w:color w:val="333333"/>
                      <w:sz w:val="20"/>
                      <w:szCs w:val="20"/>
                    </w:rPr>
                  </w:pPr>
                  <w:r w:rsidRPr="00EE294E">
                    <w:rPr>
                      <w:color w:val="333333"/>
                      <w:sz w:val="20"/>
                      <w:szCs w:val="20"/>
                    </w:rPr>
                    <w:t>“Shteti Anëtar i origjinës” do të thotë “Shteti Anëtar i origjinës” siç përcaktohet në pikën (1) të Nenit 4 të Direktivës (BE) 2015/2366;</w:t>
                  </w:r>
                </w:p>
              </w:tc>
            </w:tr>
          </w:tbl>
          <w:p w14:paraId="42567139" w14:textId="77777777" w:rsidR="003C045B" w:rsidRPr="00EE294E" w:rsidRDefault="003C045B" w:rsidP="003C045B">
            <w:pPr>
              <w:rPr>
                <w:rFonts w:ascii="Times New Roman" w:hAnsi="Times New Roman" w:cs="Times New Roman"/>
                <w:vanish/>
                <w:sz w:val="20"/>
                <w:szCs w:val="20"/>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83"/>
              <w:gridCol w:w="5001"/>
            </w:tblGrid>
            <w:tr w:rsidR="003C045B" w:rsidRPr="00EE294E" w14:paraId="3026C42F" w14:textId="77777777" w:rsidTr="0042577F">
              <w:tc>
                <w:tcPr>
                  <w:tcW w:w="315" w:type="dxa"/>
                  <w:shd w:val="clear" w:color="auto" w:fill="FFFFFF"/>
                  <w:hideMark/>
                </w:tcPr>
                <w:p w14:paraId="09426A6E" w14:textId="77777777" w:rsidR="003C045B" w:rsidRPr="00EE294E" w:rsidRDefault="003C045B" w:rsidP="003C045B">
                  <w:pPr>
                    <w:pStyle w:val="oj-normal"/>
                    <w:spacing w:before="120" w:beforeAutospacing="0" w:after="0" w:afterAutospacing="0"/>
                    <w:jc w:val="both"/>
                    <w:rPr>
                      <w:color w:val="333333"/>
                      <w:sz w:val="20"/>
                      <w:szCs w:val="20"/>
                    </w:rPr>
                  </w:pPr>
                  <w:r w:rsidRPr="00EE294E">
                    <w:rPr>
                      <w:color w:val="333333"/>
                      <w:sz w:val="20"/>
                      <w:szCs w:val="20"/>
                    </w:rPr>
                    <w:t>(7)</w:t>
                  </w:r>
                </w:p>
              </w:tc>
              <w:tc>
                <w:tcPr>
                  <w:tcW w:w="9045" w:type="dxa"/>
                  <w:shd w:val="clear" w:color="auto" w:fill="FFFFFF"/>
                  <w:hideMark/>
                </w:tcPr>
                <w:p w14:paraId="53F9C5D1" w14:textId="77777777" w:rsidR="003C045B" w:rsidRPr="00EE294E" w:rsidRDefault="003C045B" w:rsidP="003C045B">
                  <w:pPr>
                    <w:pStyle w:val="oj-normal"/>
                    <w:spacing w:before="120" w:beforeAutospacing="0" w:after="0" w:afterAutospacing="0"/>
                    <w:jc w:val="both"/>
                    <w:rPr>
                      <w:color w:val="333333"/>
                      <w:sz w:val="20"/>
                      <w:szCs w:val="20"/>
                    </w:rPr>
                  </w:pPr>
                  <w:r w:rsidRPr="00EE294E">
                    <w:rPr>
                      <w:color w:val="333333"/>
                      <w:sz w:val="20"/>
                      <w:szCs w:val="20"/>
                    </w:rPr>
                    <w:t>“Shteti Anëtar pritës” do të thotë “Shteti Anëtar pritës” siç përcaktohet në pikën (2) të Nenit 4 të Direktivës (BE) 2015/2366;</w:t>
                  </w:r>
                </w:p>
              </w:tc>
            </w:tr>
          </w:tbl>
          <w:p w14:paraId="5A411012" w14:textId="77777777" w:rsidR="003C045B" w:rsidRPr="00EE294E" w:rsidRDefault="003C045B" w:rsidP="003C045B">
            <w:pPr>
              <w:rPr>
                <w:rFonts w:ascii="Times New Roman" w:hAnsi="Times New Roman" w:cs="Times New Roman"/>
                <w:vanish/>
                <w:sz w:val="20"/>
                <w:szCs w:val="20"/>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83"/>
              <w:gridCol w:w="5001"/>
            </w:tblGrid>
            <w:tr w:rsidR="003C045B" w:rsidRPr="00EE294E" w14:paraId="709A903E" w14:textId="77777777" w:rsidTr="0042577F">
              <w:tc>
                <w:tcPr>
                  <w:tcW w:w="315" w:type="dxa"/>
                  <w:shd w:val="clear" w:color="auto" w:fill="FFFFFF"/>
                  <w:hideMark/>
                </w:tcPr>
                <w:p w14:paraId="0D1269F2" w14:textId="77777777" w:rsidR="003C045B" w:rsidRPr="00EE294E" w:rsidRDefault="003C045B" w:rsidP="003C045B">
                  <w:pPr>
                    <w:pStyle w:val="oj-normal"/>
                    <w:spacing w:before="120" w:beforeAutospacing="0" w:after="0" w:afterAutospacing="0"/>
                    <w:jc w:val="both"/>
                    <w:rPr>
                      <w:color w:val="333333"/>
                      <w:sz w:val="20"/>
                      <w:szCs w:val="20"/>
                    </w:rPr>
                  </w:pPr>
                  <w:r w:rsidRPr="00EE294E">
                    <w:rPr>
                      <w:color w:val="333333"/>
                      <w:sz w:val="20"/>
                      <w:szCs w:val="20"/>
                    </w:rPr>
                    <w:t>(8)</w:t>
                  </w:r>
                </w:p>
              </w:tc>
              <w:tc>
                <w:tcPr>
                  <w:tcW w:w="9045" w:type="dxa"/>
                  <w:shd w:val="clear" w:color="auto" w:fill="FFFFFF"/>
                  <w:hideMark/>
                </w:tcPr>
                <w:p w14:paraId="16770F81" w14:textId="77777777" w:rsidR="003C045B" w:rsidRPr="00EE294E" w:rsidRDefault="003C045B" w:rsidP="003C045B">
                  <w:pPr>
                    <w:pStyle w:val="oj-normal"/>
                    <w:spacing w:before="120" w:beforeAutospacing="0" w:after="0" w:afterAutospacing="0"/>
                    <w:jc w:val="both"/>
                    <w:rPr>
                      <w:color w:val="333333"/>
                      <w:sz w:val="20"/>
                      <w:szCs w:val="20"/>
                    </w:rPr>
                  </w:pPr>
                  <w:r w:rsidRPr="00EE294E">
                    <w:rPr>
                      <w:color w:val="333333"/>
                      <w:sz w:val="20"/>
                      <w:szCs w:val="20"/>
                    </w:rPr>
                    <w:t>“llogari pagese” do të thotë “llogari pagese” siç përcaktohet në pikën (12) të nenit 4 të Direktivës (BE) 2015/2366;</w:t>
                  </w:r>
                </w:p>
              </w:tc>
            </w:tr>
          </w:tbl>
          <w:p w14:paraId="749C8631" w14:textId="77777777" w:rsidR="003C045B" w:rsidRPr="00EE294E" w:rsidRDefault="003C045B" w:rsidP="003C045B">
            <w:pPr>
              <w:rPr>
                <w:rFonts w:ascii="Times New Roman" w:hAnsi="Times New Roman" w:cs="Times New Roman"/>
                <w:vanish/>
                <w:sz w:val="20"/>
                <w:szCs w:val="20"/>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83"/>
              <w:gridCol w:w="5001"/>
            </w:tblGrid>
            <w:tr w:rsidR="003C045B" w:rsidRPr="00EE294E" w14:paraId="1C070370" w14:textId="77777777" w:rsidTr="0042577F">
              <w:tc>
                <w:tcPr>
                  <w:tcW w:w="315" w:type="dxa"/>
                  <w:shd w:val="clear" w:color="auto" w:fill="FFFFFF"/>
                  <w:hideMark/>
                </w:tcPr>
                <w:p w14:paraId="33D506C1" w14:textId="77777777" w:rsidR="003C045B" w:rsidRPr="00EE294E" w:rsidRDefault="003C045B" w:rsidP="003C045B">
                  <w:pPr>
                    <w:pStyle w:val="oj-normal"/>
                    <w:spacing w:before="120" w:beforeAutospacing="0" w:after="0" w:afterAutospacing="0"/>
                    <w:jc w:val="both"/>
                    <w:rPr>
                      <w:color w:val="333333"/>
                      <w:sz w:val="20"/>
                      <w:szCs w:val="20"/>
                    </w:rPr>
                  </w:pPr>
                  <w:r w:rsidRPr="00EE294E">
                    <w:rPr>
                      <w:color w:val="333333"/>
                      <w:sz w:val="20"/>
                      <w:szCs w:val="20"/>
                    </w:rPr>
                    <w:lastRenderedPageBreak/>
                    <w:t>(9)</w:t>
                  </w:r>
                </w:p>
              </w:tc>
              <w:tc>
                <w:tcPr>
                  <w:tcW w:w="9045" w:type="dxa"/>
                  <w:shd w:val="clear" w:color="auto" w:fill="FFFFFF"/>
                  <w:hideMark/>
                </w:tcPr>
                <w:p w14:paraId="0E70E4D2" w14:textId="77777777" w:rsidR="003C045B" w:rsidRPr="00EE294E" w:rsidRDefault="003C045B" w:rsidP="003C045B">
                  <w:pPr>
                    <w:pStyle w:val="oj-normal"/>
                    <w:spacing w:before="120" w:beforeAutospacing="0" w:after="0" w:afterAutospacing="0"/>
                    <w:jc w:val="both"/>
                    <w:rPr>
                      <w:color w:val="333333"/>
                      <w:sz w:val="20"/>
                      <w:szCs w:val="20"/>
                    </w:rPr>
                  </w:pPr>
                  <w:r w:rsidRPr="00EE294E">
                    <w:rPr>
                      <w:color w:val="333333"/>
                      <w:sz w:val="20"/>
                      <w:szCs w:val="20"/>
                    </w:rPr>
                    <w:t xml:space="preserve">“IBAN” do të thotë “IBAN” siç përcaktohet në pikën (15) të nenit 2 të Rregullores (BE) nr. 260/2012 të Parlamentit Evropian dhe të Këshillit </w:t>
                  </w:r>
                  <w:r w:rsidRPr="00EE294E">
                    <w:fldChar w:fldCharType="begin"/>
                  </w:r>
                  <w:r w:rsidRPr="00EE294E">
                    <w:rPr>
                      <w:sz w:val="20"/>
                      <w:szCs w:val="20"/>
                    </w:rPr>
                    <w:instrText>HYPERLINK "https://eur-lex.europa.eu/eli/dir/2020/284/oj" \l "ntr*2-L_2020062EN.01000701-E0011"</w:instrText>
                  </w:r>
                  <w:r w:rsidRPr="00EE294E">
                    <w:fldChar w:fldCharType="separate"/>
                  </w:r>
                  <w:r w:rsidRPr="00EE294E">
                    <w:rPr>
                      <w:rStyle w:val="Hyperlink"/>
                      <w:color w:val="0E47CB"/>
                      <w:sz w:val="20"/>
                      <w:szCs w:val="20"/>
                    </w:rPr>
                    <w:t xml:space="preserve">( </w:t>
                  </w:r>
                  <w:r w:rsidRPr="00EE294E">
                    <w:rPr>
                      <w:rStyle w:val="Hyperlink"/>
                      <w:color w:val="0E47CB"/>
                      <w:sz w:val="20"/>
                      <w:szCs w:val="20"/>
                    </w:rPr>
                    <w:fldChar w:fldCharType="end"/>
                  </w:r>
                  <w:hyperlink r:id="rId10" w:anchor="ntr*2-L_2020062EN.01000701-E0011" w:history="1">
                    <w:r w:rsidRPr="00EE294E">
                      <w:rPr>
                        <w:rStyle w:val="oj-super"/>
                        <w:color w:val="0E47CB"/>
                        <w:sz w:val="20"/>
                        <w:szCs w:val="20"/>
                      </w:rPr>
                      <w:t xml:space="preserve">*2 </w:t>
                    </w:r>
                  </w:hyperlink>
                  <w:hyperlink r:id="rId11" w:anchor="ntr*2-L_2020062EN.01000701-E0011" w:history="1">
                    <w:r w:rsidRPr="00EE294E">
                      <w:rPr>
                        <w:rStyle w:val="Hyperlink"/>
                        <w:color w:val="0E47CB"/>
                        <w:sz w:val="20"/>
                        <w:szCs w:val="20"/>
                      </w:rPr>
                      <w:t xml:space="preserve">) </w:t>
                    </w:r>
                  </w:hyperlink>
                  <w:r w:rsidRPr="00EE294E">
                    <w:rPr>
                      <w:color w:val="333333"/>
                      <w:sz w:val="20"/>
                      <w:szCs w:val="20"/>
                    </w:rPr>
                    <w:t>;</w:t>
                  </w:r>
                </w:p>
              </w:tc>
            </w:tr>
          </w:tbl>
          <w:p w14:paraId="541BAD89" w14:textId="77777777" w:rsidR="003C045B" w:rsidRPr="00EE294E" w:rsidRDefault="003C045B" w:rsidP="003C045B">
            <w:pPr>
              <w:rPr>
                <w:rFonts w:ascii="Times New Roman" w:hAnsi="Times New Roman" w:cs="Times New Roman"/>
                <w:vanish/>
                <w:sz w:val="20"/>
                <w:szCs w:val="20"/>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57"/>
              <w:gridCol w:w="4927"/>
            </w:tblGrid>
            <w:tr w:rsidR="003C045B" w:rsidRPr="00EE294E" w14:paraId="523C32CB" w14:textId="77777777" w:rsidTr="0042577F">
              <w:tc>
                <w:tcPr>
                  <w:tcW w:w="450" w:type="dxa"/>
                  <w:shd w:val="clear" w:color="auto" w:fill="FFFFFF"/>
                  <w:hideMark/>
                </w:tcPr>
                <w:p w14:paraId="44DD5668" w14:textId="77777777" w:rsidR="003C045B" w:rsidRPr="00EE294E" w:rsidRDefault="003C045B" w:rsidP="003C045B">
                  <w:pPr>
                    <w:pStyle w:val="oj-normal"/>
                    <w:spacing w:before="120" w:beforeAutospacing="0" w:after="0" w:afterAutospacing="0"/>
                    <w:jc w:val="both"/>
                    <w:rPr>
                      <w:color w:val="333333"/>
                      <w:sz w:val="20"/>
                      <w:szCs w:val="20"/>
                    </w:rPr>
                  </w:pPr>
                  <w:r w:rsidRPr="00EE294E">
                    <w:rPr>
                      <w:color w:val="333333"/>
                      <w:sz w:val="20"/>
                      <w:szCs w:val="20"/>
                    </w:rPr>
                    <w:t>(10)</w:t>
                  </w:r>
                </w:p>
              </w:tc>
              <w:tc>
                <w:tcPr>
                  <w:tcW w:w="8910" w:type="dxa"/>
                  <w:shd w:val="clear" w:color="auto" w:fill="FFFFFF"/>
                  <w:hideMark/>
                </w:tcPr>
                <w:p w14:paraId="7A48B45C" w14:textId="77777777" w:rsidR="003C045B" w:rsidRPr="00EE294E" w:rsidRDefault="003C045B" w:rsidP="003C045B">
                  <w:pPr>
                    <w:pStyle w:val="oj-normal"/>
                    <w:spacing w:before="120" w:beforeAutospacing="0" w:after="0" w:afterAutospacing="0"/>
                    <w:jc w:val="both"/>
                    <w:rPr>
                      <w:color w:val="333333"/>
                      <w:sz w:val="20"/>
                      <w:szCs w:val="20"/>
                    </w:rPr>
                  </w:pPr>
                  <w:r w:rsidRPr="00EE294E">
                    <w:rPr>
                      <w:color w:val="333333"/>
                      <w:sz w:val="20"/>
                      <w:szCs w:val="20"/>
                    </w:rPr>
                    <w:t>“BIC” do të thotë “BIC” siç përcaktohet në pikën (16) të nenit 2 të Rregullores (BE) nr. 260/2012.</w:t>
                  </w:r>
                </w:p>
              </w:tc>
            </w:tr>
          </w:tbl>
          <w:p w14:paraId="37F6BDD1" w14:textId="77777777" w:rsidR="003C045B" w:rsidRPr="00EE294E" w:rsidRDefault="003C045B" w:rsidP="003C045B">
            <w:pPr>
              <w:jc w:val="both"/>
              <w:rPr>
                <w:rFonts w:ascii="Times New Roman" w:eastAsia="Calibri" w:hAnsi="Times New Roman" w:cs="Times New Roman"/>
                <w:iCs/>
                <w:sz w:val="20"/>
                <w:szCs w:val="20"/>
              </w:rPr>
            </w:pPr>
          </w:p>
          <w:p w14:paraId="52CBAD2B" w14:textId="77777777" w:rsidR="00B15EDC" w:rsidRPr="00EE294E" w:rsidRDefault="00B15EDC" w:rsidP="003C045B">
            <w:pPr>
              <w:jc w:val="both"/>
              <w:rPr>
                <w:rFonts w:ascii="Times New Roman" w:eastAsia="Calibri" w:hAnsi="Times New Roman" w:cs="Times New Roman"/>
                <w:iCs/>
                <w:sz w:val="20"/>
                <w:szCs w:val="20"/>
              </w:rPr>
            </w:pPr>
          </w:p>
          <w:p w14:paraId="0C574618" w14:textId="77777777" w:rsidR="00B15EDC" w:rsidRPr="00EE294E" w:rsidRDefault="00B15EDC" w:rsidP="003C045B">
            <w:pPr>
              <w:jc w:val="both"/>
              <w:rPr>
                <w:rFonts w:ascii="Times New Roman" w:eastAsia="Calibri" w:hAnsi="Times New Roman" w:cs="Times New Roman"/>
                <w:iCs/>
                <w:sz w:val="20"/>
                <w:szCs w:val="20"/>
              </w:rPr>
            </w:pPr>
          </w:p>
          <w:p w14:paraId="6C5801CC" w14:textId="77777777" w:rsidR="00B15EDC" w:rsidRPr="00EE294E" w:rsidRDefault="00B15EDC" w:rsidP="00B15EDC">
            <w:pPr>
              <w:jc w:val="center"/>
              <w:rPr>
                <w:rFonts w:ascii="Times New Roman" w:eastAsia="Times New Roman" w:hAnsi="Times New Roman" w:cs="Times New Roman"/>
                <w:i/>
                <w:iCs/>
                <w:color w:val="333333"/>
                <w:sz w:val="20"/>
                <w:szCs w:val="20"/>
              </w:rPr>
            </w:pPr>
          </w:p>
          <w:p w14:paraId="6D0AC3F1" w14:textId="77777777" w:rsidR="00B15EDC" w:rsidRPr="00EE294E" w:rsidRDefault="00B15EDC" w:rsidP="00B15EDC">
            <w:pPr>
              <w:jc w:val="center"/>
              <w:rPr>
                <w:rFonts w:ascii="Times New Roman" w:eastAsia="Times New Roman" w:hAnsi="Times New Roman" w:cs="Times New Roman"/>
                <w:i/>
                <w:iCs/>
                <w:color w:val="333333"/>
                <w:sz w:val="20"/>
                <w:szCs w:val="20"/>
              </w:rPr>
            </w:pPr>
          </w:p>
          <w:p w14:paraId="18516FF3" w14:textId="77777777" w:rsidR="00B15EDC" w:rsidRPr="00EE294E" w:rsidRDefault="00B15EDC" w:rsidP="00B15EDC">
            <w:pPr>
              <w:jc w:val="center"/>
              <w:rPr>
                <w:rFonts w:ascii="Times New Roman" w:eastAsia="Times New Roman" w:hAnsi="Times New Roman" w:cs="Times New Roman"/>
                <w:i/>
                <w:iCs/>
                <w:color w:val="333333"/>
                <w:sz w:val="20"/>
                <w:szCs w:val="20"/>
              </w:rPr>
            </w:pPr>
          </w:p>
          <w:p w14:paraId="42033BCF" w14:textId="77777777" w:rsidR="00B15EDC" w:rsidRPr="00EE294E" w:rsidRDefault="00B15EDC" w:rsidP="00B15EDC">
            <w:pPr>
              <w:jc w:val="center"/>
              <w:rPr>
                <w:rFonts w:ascii="Times New Roman" w:eastAsia="Times New Roman" w:hAnsi="Times New Roman" w:cs="Times New Roman"/>
                <w:i/>
                <w:iCs/>
                <w:color w:val="333333"/>
                <w:sz w:val="20"/>
                <w:szCs w:val="20"/>
              </w:rPr>
            </w:pPr>
          </w:p>
          <w:p w14:paraId="0C5E088D" w14:textId="77777777" w:rsidR="00B15EDC" w:rsidRPr="00EE294E" w:rsidRDefault="00B15EDC" w:rsidP="00B15EDC">
            <w:pPr>
              <w:jc w:val="center"/>
              <w:rPr>
                <w:rFonts w:ascii="Times New Roman" w:eastAsia="Times New Roman" w:hAnsi="Times New Roman" w:cs="Times New Roman"/>
                <w:i/>
                <w:iCs/>
                <w:color w:val="333333"/>
                <w:sz w:val="20"/>
                <w:szCs w:val="20"/>
              </w:rPr>
            </w:pPr>
          </w:p>
          <w:p w14:paraId="37389338" w14:textId="77777777" w:rsidR="00B15EDC" w:rsidRPr="00EE294E" w:rsidRDefault="00B15EDC" w:rsidP="00B15EDC">
            <w:pPr>
              <w:jc w:val="center"/>
              <w:rPr>
                <w:rFonts w:ascii="Times New Roman" w:eastAsia="Times New Roman" w:hAnsi="Times New Roman" w:cs="Times New Roman"/>
                <w:i/>
                <w:iCs/>
                <w:color w:val="333333"/>
                <w:sz w:val="20"/>
                <w:szCs w:val="20"/>
              </w:rPr>
            </w:pPr>
          </w:p>
          <w:p w14:paraId="76BB39A8" w14:textId="77777777" w:rsidR="00B15EDC" w:rsidRPr="00EE294E" w:rsidRDefault="00B15EDC" w:rsidP="00B15EDC">
            <w:pPr>
              <w:jc w:val="center"/>
              <w:rPr>
                <w:rFonts w:ascii="Times New Roman" w:eastAsia="Times New Roman" w:hAnsi="Times New Roman" w:cs="Times New Roman"/>
                <w:i/>
                <w:iCs/>
                <w:color w:val="333333"/>
                <w:sz w:val="20"/>
                <w:szCs w:val="20"/>
              </w:rPr>
            </w:pPr>
          </w:p>
          <w:p w14:paraId="2AD21026" w14:textId="77777777" w:rsidR="00B15EDC" w:rsidRPr="00EE294E" w:rsidRDefault="00B15EDC" w:rsidP="00B15EDC">
            <w:pPr>
              <w:jc w:val="center"/>
              <w:rPr>
                <w:rFonts w:ascii="Times New Roman" w:eastAsia="Times New Roman" w:hAnsi="Times New Roman" w:cs="Times New Roman"/>
                <w:i/>
                <w:iCs/>
                <w:color w:val="333333"/>
                <w:sz w:val="20"/>
                <w:szCs w:val="20"/>
              </w:rPr>
            </w:pPr>
          </w:p>
          <w:p w14:paraId="22E355D0" w14:textId="77777777" w:rsidR="00B15EDC" w:rsidRPr="00EE294E" w:rsidRDefault="00B15EDC" w:rsidP="00B15EDC">
            <w:pPr>
              <w:jc w:val="center"/>
              <w:rPr>
                <w:rFonts w:ascii="Times New Roman" w:eastAsia="Times New Roman" w:hAnsi="Times New Roman" w:cs="Times New Roman"/>
                <w:i/>
                <w:iCs/>
                <w:color w:val="333333"/>
                <w:sz w:val="20"/>
                <w:szCs w:val="20"/>
              </w:rPr>
            </w:pPr>
          </w:p>
          <w:p w14:paraId="0EB3FF1C" w14:textId="77777777" w:rsidR="00B15EDC" w:rsidRPr="00EE294E" w:rsidRDefault="00B15EDC" w:rsidP="00B15EDC">
            <w:pPr>
              <w:jc w:val="center"/>
              <w:rPr>
                <w:rFonts w:ascii="Times New Roman" w:eastAsia="Times New Roman" w:hAnsi="Times New Roman" w:cs="Times New Roman"/>
                <w:i/>
                <w:iCs/>
                <w:color w:val="333333"/>
                <w:sz w:val="20"/>
                <w:szCs w:val="20"/>
              </w:rPr>
            </w:pPr>
          </w:p>
          <w:p w14:paraId="59EAED40" w14:textId="2C247BF4" w:rsidR="00B15EDC" w:rsidRPr="00EE294E" w:rsidRDefault="00B15EDC" w:rsidP="00B15EDC">
            <w:pPr>
              <w:jc w:val="center"/>
              <w:rPr>
                <w:rFonts w:ascii="Times New Roman" w:eastAsia="Times New Roman" w:hAnsi="Times New Roman" w:cs="Times New Roman"/>
                <w:i/>
                <w:iCs/>
                <w:color w:val="333333"/>
                <w:sz w:val="20"/>
                <w:szCs w:val="20"/>
              </w:rPr>
            </w:pPr>
            <w:r w:rsidRPr="00EE294E">
              <w:rPr>
                <w:rFonts w:ascii="Times New Roman" w:eastAsia="Times New Roman" w:hAnsi="Times New Roman" w:cs="Times New Roman"/>
                <w:i/>
                <w:iCs/>
                <w:color w:val="333333"/>
                <w:sz w:val="20"/>
                <w:szCs w:val="20"/>
              </w:rPr>
              <w:t>Neni 243d</w:t>
            </w:r>
          </w:p>
          <w:p w14:paraId="5C547071" w14:textId="78256400" w:rsidR="00B15EDC" w:rsidRPr="00EE294E" w:rsidRDefault="00B15EDC" w:rsidP="00B15EDC">
            <w:pPr>
              <w:pStyle w:val="oj-normal"/>
              <w:shd w:val="clear" w:color="auto" w:fill="FFFFFF"/>
              <w:spacing w:before="120" w:beforeAutospacing="0" w:after="0" w:afterAutospacing="0"/>
              <w:jc w:val="both"/>
              <w:rPr>
                <w:color w:val="333333"/>
                <w:sz w:val="20"/>
                <w:szCs w:val="20"/>
              </w:rPr>
            </w:pPr>
            <w:r w:rsidRPr="00EE294E">
              <w:rPr>
                <w:color w:val="333333"/>
                <w:sz w:val="20"/>
                <w:szCs w:val="20"/>
              </w:rPr>
              <w:t>Një pagesë konsiderohet pagesë ndërkufitare kur paguesi ndodhet në një Shtet Anëtar dhe përfituesi ndodhet në një Shtet tjetër Anëtar, në një territor të tretë ose në një vend të tretë.</w:t>
            </w:r>
          </w:p>
          <w:p w14:paraId="3A31154C" w14:textId="6A5680DE" w:rsidR="00B15EDC" w:rsidRPr="00EE294E" w:rsidRDefault="00B15EDC" w:rsidP="003C045B">
            <w:pPr>
              <w:jc w:val="both"/>
              <w:rPr>
                <w:rFonts w:ascii="Times New Roman" w:eastAsia="Calibri" w:hAnsi="Times New Roman" w:cs="Times New Roman"/>
                <w:iCs/>
                <w:sz w:val="20"/>
                <w:szCs w:val="20"/>
              </w:rPr>
            </w:pPr>
          </w:p>
        </w:tc>
        <w:tc>
          <w:tcPr>
            <w:tcW w:w="450" w:type="dxa"/>
          </w:tcPr>
          <w:p w14:paraId="68273547" w14:textId="0F3E768C" w:rsidR="003C045B" w:rsidRPr="00EE294E" w:rsidRDefault="003C045B" w:rsidP="003C045B">
            <w:pPr>
              <w:jc w:val="center"/>
              <w:rPr>
                <w:rFonts w:ascii="Times New Roman" w:eastAsia="Calibri" w:hAnsi="Times New Roman" w:cs="Times New Roman"/>
                <w:sz w:val="20"/>
                <w:szCs w:val="20"/>
              </w:rPr>
            </w:pPr>
          </w:p>
        </w:tc>
        <w:tc>
          <w:tcPr>
            <w:tcW w:w="644" w:type="dxa"/>
          </w:tcPr>
          <w:p w14:paraId="217830CF" w14:textId="6B08BFCC" w:rsidR="003C045B" w:rsidRPr="00EE294E" w:rsidRDefault="002A7599" w:rsidP="003C045B">
            <w:pPr>
              <w:jc w:val="center"/>
              <w:rPr>
                <w:rFonts w:ascii="Times New Roman" w:eastAsia="Calibri" w:hAnsi="Times New Roman" w:cs="Times New Roman"/>
                <w:sz w:val="20"/>
                <w:szCs w:val="20"/>
                <w:lang w:val="en-US"/>
              </w:rPr>
            </w:pPr>
            <w:r w:rsidRPr="00EE294E">
              <w:rPr>
                <w:rFonts w:ascii="Times New Roman" w:eastAsia="Calibri" w:hAnsi="Times New Roman" w:cs="Times New Roman"/>
                <w:sz w:val="20"/>
                <w:szCs w:val="20"/>
                <w:lang w:val="en-US"/>
              </w:rPr>
              <w:t>Neni 4</w:t>
            </w:r>
          </w:p>
        </w:tc>
        <w:tc>
          <w:tcPr>
            <w:tcW w:w="5040" w:type="dxa"/>
            <w:tcBorders>
              <w:bottom w:val="dashed" w:sz="4" w:space="0" w:color="auto"/>
            </w:tcBorders>
          </w:tcPr>
          <w:p w14:paraId="7D829788" w14:textId="1755C0EE" w:rsidR="00DF7851" w:rsidRPr="00EE294E" w:rsidRDefault="009A70F7" w:rsidP="00DF7851">
            <w:pPr>
              <w:spacing w:line="276" w:lineRule="auto"/>
              <w:jc w:val="both"/>
              <w:rPr>
                <w:rFonts w:ascii="Times New Roman" w:eastAsia="Calibri" w:hAnsi="Times New Roman" w:cs="Times New Roman"/>
                <w:sz w:val="20"/>
                <w:szCs w:val="20"/>
              </w:rPr>
            </w:pPr>
            <w:r w:rsidRPr="00EE294E">
              <w:rPr>
                <w:rFonts w:ascii="Times New Roman" w:eastAsia="Calibri" w:hAnsi="Times New Roman" w:cs="Times New Roman"/>
                <w:sz w:val="20"/>
                <w:szCs w:val="20"/>
              </w:rPr>
              <w:t>Për qëllime të këtij ligji me termat e mëposhtëm kuptohet:</w:t>
            </w:r>
          </w:p>
          <w:p w14:paraId="15FC2921" w14:textId="77777777" w:rsidR="00DF7851" w:rsidRPr="00EE294E" w:rsidRDefault="00DF7851" w:rsidP="00DF7851">
            <w:pPr>
              <w:spacing w:line="276" w:lineRule="auto"/>
              <w:jc w:val="both"/>
              <w:rPr>
                <w:rFonts w:ascii="Times New Roman" w:eastAsia="Calibri" w:hAnsi="Times New Roman" w:cs="Times New Roman"/>
                <w:sz w:val="20"/>
                <w:szCs w:val="20"/>
              </w:rPr>
            </w:pPr>
          </w:p>
          <w:p w14:paraId="05C2A00C" w14:textId="0D3C53FD" w:rsidR="00DF7851" w:rsidRPr="00EE294E" w:rsidRDefault="00DF7851" w:rsidP="00DF7851">
            <w:pPr>
              <w:spacing w:line="276" w:lineRule="auto"/>
              <w:jc w:val="both"/>
              <w:rPr>
                <w:rFonts w:ascii="Times New Roman" w:eastAsia="Calibri" w:hAnsi="Times New Roman" w:cs="Times New Roman"/>
                <w:sz w:val="20"/>
                <w:szCs w:val="20"/>
              </w:rPr>
            </w:pPr>
            <w:r w:rsidRPr="00EE294E">
              <w:rPr>
                <w:rFonts w:ascii="Times New Roman" w:eastAsia="Calibri" w:hAnsi="Times New Roman" w:cs="Times New Roman"/>
                <w:sz w:val="20"/>
                <w:szCs w:val="20"/>
              </w:rPr>
              <w:t>a)</w:t>
            </w:r>
            <w:r w:rsidRPr="00EE294E">
              <w:rPr>
                <w:rFonts w:ascii="Times New Roman" w:eastAsia="Calibri" w:hAnsi="Times New Roman" w:cs="Times New Roman"/>
                <w:sz w:val="20"/>
                <w:szCs w:val="20"/>
              </w:rPr>
              <w:tab/>
              <w:t xml:space="preserve">“Sistemi Elektronik i Informacionit mbi Pagesat Ndërkufitare (CESOP) është platforma elektronike e Komisionit Europian sipas Rregullores së </w:t>
            </w:r>
            <w:r w:rsidR="009A70F7" w:rsidRPr="00EE294E">
              <w:rPr>
                <w:rFonts w:ascii="Times New Roman" w:eastAsia="Calibri" w:hAnsi="Times New Roman" w:cs="Times New Roman"/>
                <w:sz w:val="20"/>
                <w:szCs w:val="20"/>
              </w:rPr>
              <w:t>Bashkimit Evropian nr.</w:t>
            </w:r>
            <w:r w:rsidRPr="00EE294E">
              <w:rPr>
                <w:rFonts w:ascii="Times New Roman" w:eastAsia="Calibri" w:hAnsi="Times New Roman" w:cs="Times New Roman"/>
                <w:sz w:val="20"/>
                <w:szCs w:val="20"/>
              </w:rPr>
              <w:t xml:space="preserve"> 904/2010</w:t>
            </w:r>
            <w:r w:rsidR="009A70F7" w:rsidRPr="00EE294E">
              <w:rPr>
                <w:rFonts w:ascii="Times New Roman" w:eastAsia="Calibri" w:hAnsi="Times New Roman" w:cs="Times New Roman"/>
                <w:sz w:val="20"/>
                <w:szCs w:val="20"/>
              </w:rPr>
              <w:t>, të</w:t>
            </w:r>
            <w:r w:rsidRPr="00EE294E">
              <w:rPr>
                <w:rFonts w:ascii="Times New Roman" w:eastAsia="Calibri" w:hAnsi="Times New Roman" w:cs="Times New Roman"/>
                <w:sz w:val="20"/>
                <w:szCs w:val="20"/>
              </w:rPr>
              <w:t xml:space="preserve"> ndryshuar </w:t>
            </w:r>
            <w:r w:rsidR="009A70F7" w:rsidRPr="00EE294E">
              <w:rPr>
                <w:rFonts w:ascii="Times New Roman" w:eastAsia="Calibri" w:hAnsi="Times New Roman" w:cs="Times New Roman"/>
                <w:sz w:val="20"/>
                <w:szCs w:val="20"/>
              </w:rPr>
              <w:t>.</w:t>
            </w:r>
          </w:p>
          <w:p w14:paraId="1682A3A9" w14:textId="77777777" w:rsidR="00DF7851" w:rsidRPr="00EE294E" w:rsidRDefault="00DF7851" w:rsidP="00DF7851">
            <w:pPr>
              <w:spacing w:line="276" w:lineRule="auto"/>
              <w:jc w:val="both"/>
              <w:rPr>
                <w:rFonts w:ascii="Times New Roman" w:eastAsia="Calibri" w:hAnsi="Times New Roman" w:cs="Times New Roman"/>
                <w:sz w:val="20"/>
                <w:szCs w:val="20"/>
              </w:rPr>
            </w:pPr>
          </w:p>
          <w:p w14:paraId="2CCD3FD2" w14:textId="22C9B3C0" w:rsidR="00DF7851" w:rsidRPr="00EE294E" w:rsidRDefault="00DF7851" w:rsidP="00DF7851">
            <w:pPr>
              <w:spacing w:line="276" w:lineRule="auto"/>
              <w:jc w:val="both"/>
              <w:rPr>
                <w:rFonts w:ascii="Times New Roman" w:eastAsia="Calibri" w:hAnsi="Times New Roman" w:cs="Times New Roman"/>
                <w:sz w:val="20"/>
                <w:szCs w:val="20"/>
              </w:rPr>
            </w:pPr>
            <w:r w:rsidRPr="00EE294E">
              <w:rPr>
                <w:rFonts w:ascii="Times New Roman" w:eastAsia="Calibri" w:hAnsi="Times New Roman" w:cs="Times New Roman"/>
                <w:sz w:val="20"/>
                <w:szCs w:val="20"/>
              </w:rPr>
              <w:t>b)</w:t>
            </w:r>
            <w:r w:rsidRPr="00EE294E">
              <w:rPr>
                <w:rFonts w:ascii="Times New Roman" w:eastAsia="Calibri" w:hAnsi="Times New Roman" w:cs="Times New Roman"/>
                <w:sz w:val="20"/>
                <w:szCs w:val="20"/>
              </w:rPr>
              <w:tab/>
              <w:t xml:space="preserve">“Ofrues i shërbimeve të pagesës”, ka të njëjtin kuptim siç është përcaktuar në ligjin </w:t>
            </w:r>
            <w:r w:rsidR="009A70F7" w:rsidRPr="00EE294E">
              <w:rPr>
                <w:rFonts w:ascii="Times New Roman" w:eastAsia="Calibri" w:hAnsi="Times New Roman" w:cs="Times New Roman"/>
                <w:sz w:val="20"/>
                <w:szCs w:val="20"/>
              </w:rPr>
              <w:t xml:space="preserve">nr 55/2020 </w:t>
            </w:r>
            <w:r w:rsidRPr="00EE294E">
              <w:rPr>
                <w:rFonts w:ascii="Times New Roman" w:eastAsia="Calibri" w:hAnsi="Times New Roman" w:cs="Times New Roman"/>
                <w:sz w:val="20"/>
                <w:szCs w:val="20"/>
              </w:rPr>
              <w:t>‘Për shërbimet e pagesave’.</w:t>
            </w:r>
          </w:p>
          <w:p w14:paraId="59162252" w14:textId="77777777" w:rsidR="00DF7851" w:rsidRPr="00EE294E" w:rsidRDefault="00DF7851" w:rsidP="00DF7851">
            <w:pPr>
              <w:spacing w:line="276" w:lineRule="auto"/>
              <w:jc w:val="both"/>
              <w:rPr>
                <w:rFonts w:ascii="Times New Roman" w:eastAsia="Calibri" w:hAnsi="Times New Roman" w:cs="Times New Roman"/>
                <w:sz w:val="20"/>
                <w:szCs w:val="20"/>
              </w:rPr>
            </w:pPr>
          </w:p>
          <w:p w14:paraId="412F851F" w14:textId="3CBE0149" w:rsidR="00DF7851" w:rsidRPr="00EE294E" w:rsidRDefault="00DF7851" w:rsidP="00DF7851">
            <w:pPr>
              <w:spacing w:line="276" w:lineRule="auto"/>
              <w:jc w:val="both"/>
              <w:rPr>
                <w:rFonts w:ascii="Times New Roman" w:eastAsia="Calibri" w:hAnsi="Times New Roman" w:cs="Times New Roman"/>
                <w:sz w:val="20"/>
                <w:szCs w:val="20"/>
              </w:rPr>
            </w:pPr>
            <w:r w:rsidRPr="00EE294E">
              <w:rPr>
                <w:rFonts w:ascii="Times New Roman" w:eastAsia="Calibri" w:hAnsi="Times New Roman" w:cs="Times New Roman"/>
                <w:sz w:val="20"/>
                <w:szCs w:val="20"/>
              </w:rPr>
              <w:t>c)</w:t>
            </w:r>
            <w:r w:rsidRPr="00EE294E">
              <w:rPr>
                <w:rFonts w:ascii="Times New Roman" w:eastAsia="Calibri" w:hAnsi="Times New Roman" w:cs="Times New Roman"/>
                <w:sz w:val="20"/>
                <w:szCs w:val="20"/>
              </w:rPr>
              <w:tab/>
              <w:t xml:space="preserve">“Pagues”, ka të njëjtin kuptim siç është përcaktuar në ligjin </w:t>
            </w:r>
            <w:r w:rsidR="009A70F7" w:rsidRPr="00EE294E">
              <w:rPr>
                <w:rFonts w:ascii="Times New Roman" w:eastAsia="Calibri" w:hAnsi="Times New Roman" w:cs="Times New Roman"/>
                <w:sz w:val="20"/>
                <w:szCs w:val="20"/>
              </w:rPr>
              <w:t xml:space="preserve">nr. 55/2020 </w:t>
            </w:r>
            <w:r w:rsidRPr="00EE294E">
              <w:rPr>
                <w:rFonts w:ascii="Times New Roman" w:eastAsia="Calibri" w:hAnsi="Times New Roman" w:cs="Times New Roman"/>
                <w:sz w:val="20"/>
                <w:szCs w:val="20"/>
              </w:rPr>
              <w:t>‘Për shërbimet e pagesave’.</w:t>
            </w:r>
          </w:p>
          <w:p w14:paraId="5712CE3A" w14:textId="77777777" w:rsidR="00DF7851" w:rsidRPr="00EE294E" w:rsidRDefault="00DF7851" w:rsidP="00DF7851">
            <w:pPr>
              <w:spacing w:line="276" w:lineRule="auto"/>
              <w:jc w:val="both"/>
              <w:rPr>
                <w:rFonts w:ascii="Times New Roman" w:eastAsia="Calibri" w:hAnsi="Times New Roman" w:cs="Times New Roman"/>
                <w:sz w:val="20"/>
                <w:szCs w:val="20"/>
              </w:rPr>
            </w:pPr>
          </w:p>
          <w:p w14:paraId="077E6A5B" w14:textId="6C6349C9" w:rsidR="00DF7851" w:rsidRPr="00EE294E" w:rsidRDefault="00DF7851" w:rsidP="00DF7851">
            <w:pPr>
              <w:spacing w:line="276" w:lineRule="auto"/>
              <w:jc w:val="both"/>
              <w:rPr>
                <w:rFonts w:ascii="Times New Roman" w:eastAsia="Calibri" w:hAnsi="Times New Roman" w:cs="Times New Roman"/>
                <w:sz w:val="20"/>
                <w:szCs w:val="20"/>
              </w:rPr>
            </w:pPr>
            <w:r w:rsidRPr="00EE294E">
              <w:rPr>
                <w:rFonts w:ascii="Times New Roman" w:eastAsia="Calibri" w:hAnsi="Times New Roman" w:cs="Times New Roman"/>
                <w:sz w:val="20"/>
                <w:szCs w:val="20"/>
              </w:rPr>
              <w:t>d)</w:t>
            </w:r>
            <w:r w:rsidRPr="00EE294E">
              <w:rPr>
                <w:rFonts w:ascii="Times New Roman" w:eastAsia="Calibri" w:hAnsi="Times New Roman" w:cs="Times New Roman"/>
                <w:sz w:val="20"/>
                <w:szCs w:val="20"/>
              </w:rPr>
              <w:tab/>
              <w:t xml:space="preserve">“Përfitues i pagesës’, ka të njëjtin kuptim siç është përcaktuar në ligjin </w:t>
            </w:r>
            <w:r w:rsidR="009A70F7" w:rsidRPr="00EE294E">
              <w:rPr>
                <w:rFonts w:ascii="Times New Roman" w:eastAsia="Calibri" w:hAnsi="Times New Roman" w:cs="Times New Roman"/>
                <w:sz w:val="20"/>
                <w:szCs w:val="20"/>
              </w:rPr>
              <w:t xml:space="preserve">nr 55/2020 </w:t>
            </w:r>
            <w:r w:rsidRPr="00EE294E">
              <w:rPr>
                <w:rFonts w:ascii="Times New Roman" w:eastAsia="Calibri" w:hAnsi="Times New Roman" w:cs="Times New Roman"/>
                <w:sz w:val="20"/>
                <w:szCs w:val="20"/>
              </w:rPr>
              <w:t>‘Për shërbimet e pagesave.</w:t>
            </w:r>
          </w:p>
          <w:p w14:paraId="17C2CC06" w14:textId="77777777" w:rsidR="00DF7851" w:rsidRPr="00EE294E" w:rsidRDefault="00DF7851" w:rsidP="00DF7851">
            <w:pPr>
              <w:spacing w:line="276" w:lineRule="auto"/>
              <w:jc w:val="both"/>
              <w:rPr>
                <w:rFonts w:ascii="Times New Roman" w:eastAsia="Calibri" w:hAnsi="Times New Roman" w:cs="Times New Roman"/>
                <w:sz w:val="20"/>
                <w:szCs w:val="20"/>
              </w:rPr>
            </w:pPr>
            <w:r w:rsidRPr="00EE294E">
              <w:rPr>
                <w:rFonts w:ascii="Times New Roman" w:eastAsia="Calibri" w:hAnsi="Times New Roman" w:cs="Times New Roman"/>
                <w:sz w:val="20"/>
                <w:szCs w:val="20"/>
              </w:rPr>
              <w:t>e)</w:t>
            </w:r>
            <w:r w:rsidRPr="00EE294E">
              <w:rPr>
                <w:rFonts w:ascii="Times New Roman" w:eastAsia="Calibri" w:hAnsi="Times New Roman" w:cs="Times New Roman"/>
                <w:sz w:val="20"/>
                <w:szCs w:val="20"/>
              </w:rPr>
              <w:tab/>
              <w:t>"Raportim” është detyrimi i ofruesit të shërbimeve të pagesës për të mbledhur, përpunuar dhe transmetuar informacionin mbi pagesat ndërkufitare dhe përfituesit e tyre tek administrata tatimore, sipas kushteve, formateve dhe afateve të përcaktuara në këtë ligj dhe aktet nënligjore në zbatim të tij.</w:t>
            </w:r>
          </w:p>
          <w:p w14:paraId="2719C70A" w14:textId="77777777" w:rsidR="00DF7851" w:rsidRPr="00EE294E" w:rsidRDefault="00DF7851" w:rsidP="00DF7851">
            <w:pPr>
              <w:spacing w:line="276" w:lineRule="auto"/>
              <w:jc w:val="both"/>
              <w:rPr>
                <w:rFonts w:ascii="Times New Roman" w:eastAsia="Calibri" w:hAnsi="Times New Roman" w:cs="Times New Roman"/>
                <w:sz w:val="20"/>
                <w:szCs w:val="20"/>
              </w:rPr>
            </w:pPr>
          </w:p>
          <w:p w14:paraId="22F5A1B4" w14:textId="77777777" w:rsidR="00DF7851" w:rsidRPr="00EE294E" w:rsidRDefault="00DF7851" w:rsidP="00DF7851">
            <w:pPr>
              <w:spacing w:line="276" w:lineRule="auto"/>
              <w:jc w:val="both"/>
              <w:rPr>
                <w:rFonts w:ascii="Times New Roman" w:eastAsia="Calibri" w:hAnsi="Times New Roman" w:cs="Times New Roman"/>
                <w:sz w:val="20"/>
                <w:szCs w:val="20"/>
              </w:rPr>
            </w:pPr>
            <w:r w:rsidRPr="00EE294E">
              <w:rPr>
                <w:rFonts w:ascii="Times New Roman" w:eastAsia="Calibri" w:hAnsi="Times New Roman" w:cs="Times New Roman"/>
                <w:sz w:val="20"/>
                <w:szCs w:val="20"/>
              </w:rPr>
              <w:t>f)</w:t>
            </w:r>
            <w:r w:rsidRPr="00EE294E">
              <w:rPr>
                <w:rFonts w:ascii="Times New Roman" w:eastAsia="Calibri" w:hAnsi="Times New Roman" w:cs="Times New Roman"/>
                <w:sz w:val="20"/>
                <w:szCs w:val="20"/>
              </w:rPr>
              <w:tab/>
              <w:t>“Shtet anëtar i origjinës” sipas përkufizimit në ligjin përr sherbimet e pagesave.</w:t>
            </w:r>
          </w:p>
          <w:p w14:paraId="44492C6A" w14:textId="77777777" w:rsidR="00DF7851" w:rsidRPr="00EE294E" w:rsidRDefault="00DF7851" w:rsidP="00DF7851">
            <w:pPr>
              <w:spacing w:line="276" w:lineRule="auto"/>
              <w:jc w:val="both"/>
              <w:rPr>
                <w:rFonts w:ascii="Times New Roman" w:eastAsia="Calibri" w:hAnsi="Times New Roman" w:cs="Times New Roman"/>
                <w:sz w:val="20"/>
                <w:szCs w:val="20"/>
              </w:rPr>
            </w:pPr>
          </w:p>
          <w:p w14:paraId="4639B6EC" w14:textId="77777777" w:rsidR="00DF7851" w:rsidRPr="00EE294E" w:rsidRDefault="00DF7851" w:rsidP="00DF7851">
            <w:pPr>
              <w:spacing w:line="276" w:lineRule="auto"/>
              <w:jc w:val="both"/>
              <w:rPr>
                <w:rFonts w:ascii="Times New Roman" w:eastAsia="Calibri" w:hAnsi="Times New Roman" w:cs="Times New Roman"/>
                <w:sz w:val="20"/>
                <w:szCs w:val="20"/>
              </w:rPr>
            </w:pPr>
            <w:r w:rsidRPr="00EE294E">
              <w:rPr>
                <w:rFonts w:ascii="Times New Roman" w:eastAsia="Calibri" w:hAnsi="Times New Roman" w:cs="Times New Roman"/>
                <w:sz w:val="20"/>
                <w:szCs w:val="20"/>
              </w:rPr>
              <w:t>g)</w:t>
            </w:r>
            <w:r w:rsidRPr="00EE294E">
              <w:rPr>
                <w:rFonts w:ascii="Times New Roman" w:eastAsia="Calibri" w:hAnsi="Times New Roman" w:cs="Times New Roman"/>
                <w:sz w:val="20"/>
                <w:szCs w:val="20"/>
              </w:rPr>
              <w:tab/>
              <w:t>“Shtet anëtar pritës” sipas përkufizimit në ligjin për shërbimet e pagesave.</w:t>
            </w:r>
          </w:p>
          <w:p w14:paraId="2F2B6276" w14:textId="77777777" w:rsidR="00DF7851" w:rsidRPr="00EE294E" w:rsidRDefault="00DF7851" w:rsidP="00DF7851">
            <w:pPr>
              <w:spacing w:line="276" w:lineRule="auto"/>
              <w:jc w:val="both"/>
              <w:rPr>
                <w:rFonts w:ascii="Times New Roman" w:eastAsia="Calibri" w:hAnsi="Times New Roman" w:cs="Times New Roman"/>
                <w:sz w:val="20"/>
                <w:szCs w:val="20"/>
              </w:rPr>
            </w:pPr>
          </w:p>
          <w:p w14:paraId="2E6D23D5" w14:textId="77777777" w:rsidR="00DF7851" w:rsidRPr="00EE294E" w:rsidRDefault="00DF7851" w:rsidP="00DF7851">
            <w:pPr>
              <w:spacing w:line="276" w:lineRule="auto"/>
              <w:jc w:val="both"/>
              <w:rPr>
                <w:rFonts w:ascii="Times New Roman" w:eastAsia="Calibri" w:hAnsi="Times New Roman" w:cs="Times New Roman"/>
                <w:sz w:val="20"/>
                <w:szCs w:val="20"/>
              </w:rPr>
            </w:pPr>
            <w:r w:rsidRPr="00EE294E">
              <w:rPr>
                <w:rFonts w:ascii="Times New Roman" w:eastAsia="Calibri" w:hAnsi="Times New Roman" w:cs="Times New Roman"/>
                <w:sz w:val="20"/>
                <w:szCs w:val="20"/>
              </w:rPr>
              <w:lastRenderedPageBreak/>
              <w:t>h)</w:t>
            </w:r>
            <w:r w:rsidRPr="00EE294E">
              <w:rPr>
                <w:rFonts w:ascii="Times New Roman" w:eastAsia="Calibri" w:hAnsi="Times New Roman" w:cs="Times New Roman"/>
                <w:sz w:val="20"/>
                <w:szCs w:val="20"/>
              </w:rPr>
              <w:tab/>
              <w:t xml:space="preserve">“IBAN” është numri unik ndërkombëtar i llogarisë bankare të përfituesit të pagesës.  </w:t>
            </w:r>
          </w:p>
          <w:p w14:paraId="2C04697D" w14:textId="0D21A5E0" w:rsidR="00DF7851" w:rsidRPr="00EE294E" w:rsidRDefault="00DF7851" w:rsidP="00DF7851">
            <w:pPr>
              <w:spacing w:line="276" w:lineRule="auto"/>
              <w:jc w:val="both"/>
              <w:rPr>
                <w:rFonts w:ascii="Times New Roman" w:eastAsia="Calibri" w:hAnsi="Times New Roman" w:cs="Times New Roman"/>
                <w:sz w:val="20"/>
                <w:szCs w:val="20"/>
              </w:rPr>
            </w:pPr>
            <w:r w:rsidRPr="00EE294E">
              <w:rPr>
                <w:rFonts w:ascii="Times New Roman" w:eastAsia="Calibri" w:hAnsi="Times New Roman" w:cs="Times New Roman"/>
                <w:sz w:val="20"/>
                <w:szCs w:val="20"/>
              </w:rPr>
              <w:t>i)</w:t>
            </w:r>
            <w:r w:rsidRPr="00EE294E">
              <w:rPr>
                <w:rFonts w:ascii="Times New Roman" w:eastAsia="Calibri" w:hAnsi="Times New Roman" w:cs="Times New Roman"/>
                <w:sz w:val="20"/>
                <w:szCs w:val="20"/>
              </w:rPr>
              <w:tab/>
              <w:t>“</w:t>
            </w:r>
            <w:r w:rsidR="009A70F7" w:rsidRPr="00EE294E">
              <w:rPr>
                <w:rFonts w:ascii="Times New Roman" w:eastAsia="Calibri" w:hAnsi="Times New Roman" w:cs="Times New Roman"/>
                <w:sz w:val="20"/>
                <w:szCs w:val="20"/>
              </w:rPr>
              <w:t xml:space="preserve">Transaksion </w:t>
            </w:r>
            <w:r w:rsidRPr="00EE294E">
              <w:rPr>
                <w:rFonts w:ascii="Times New Roman" w:eastAsia="Calibri" w:hAnsi="Times New Roman" w:cs="Times New Roman"/>
                <w:sz w:val="20"/>
                <w:szCs w:val="20"/>
              </w:rPr>
              <w:t>Pages</w:t>
            </w:r>
            <w:r w:rsidR="009A70F7" w:rsidRPr="00EE294E">
              <w:rPr>
                <w:rFonts w:ascii="Times New Roman" w:eastAsia="Calibri" w:hAnsi="Times New Roman" w:cs="Times New Roman"/>
                <w:sz w:val="20"/>
                <w:szCs w:val="20"/>
              </w:rPr>
              <w:t>e</w:t>
            </w:r>
            <w:r w:rsidRPr="00EE294E">
              <w:rPr>
                <w:rFonts w:ascii="Times New Roman" w:eastAsia="Calibri" w:hAnsi="Times New Roman" w:cs="Times New Roman"/>
                <w:sz w:val="20"/>
                <w:szCs w:val="20"/>
              </w:rPr>
              <w:t xml:space="preserve"> ndërkufitare” </w:t>
            </w:r>
            <w:r w:rsidR="009A70F7" w:rsidRPr="00EE294E">
              <w:rPr>
                <w:rFonts w:ascii="Times New Roman" w:hAnsi="Times New Roman" w:cs="Times New Roman"/>
                <w:sz w:val="20"/>
                <w:szCs w:val="20"/>
                <w:lang w:val="sq-AL"/>
              </w:rPr>
              <w:t xml:space="preserve"> është një transaksion pagese i nisur nga një pagues ose nga një përfitues pagese ku ofruesi i shërbimit të pagesave i paguesit dhe ofruesi i shërbimit të pagesave i përfituesit ndodhen në Shtete Anëtare të ndryshme.</w:t>
            </w:r>
          </w:p>
          <w:p w14:paraId="404FA259" w14:textId="77777777" w:rsidR="00DF7851" w:rsidRPr="00EE294E" w:rsidRDefault="00DF7851" w:rsidP="00DF7851">
            <w:pPr>
              <w:spacing w:line="276" w:lineRule="auto"/>
              <w:jc w:val="both"/>
              <w:rPr>
                <w:rFonts w:ascii="Times New Roman" w:eastAsia="Calibri" w:hAnsi="Times New Roman" w:cs="Times New Roman"/>
                <w:sz w:val="20"/>
                <w:szCs w:val="20"/>
              </w:rPr>
            </w:pPr>
          </w:p>
          <w:p w14:paraId="4A14042D" w14:textId="77777777" w:rsidR="00DF7851" w:rsidRPr="00EE294E" w:rsidRDefault="00DF7851" w:rsidP="00DF7851">
            <w:pPr>
              <w:spacing w:line="276" w:lineRule="auto"/>
              <w:jc w:val="both"/>
              <w:rPr>
                <w:rFonts w:ascii="Times New Roman" w:eastAsia="Calibri" w:hAnsi="Times New Roman" w:cs="Times New Roman"/>
                <w:sz w:val="20"/>
                <w:szCs w:val="20"/>
              </w:rPr>
            </w:pPr>
            <w:r w:rsidRPr="00EE294E">
              <w:rPr>
                <w:rFonts w:ascii="Times New Roman" w:eastAsia="Calibri" w:hAnsi="Times New Roman" w:cs="Times New Roman"/>
                <w:sz w:val="20"/>
                <w:szCs w:val="20"/>
              </w:rPr>
              <w:t>j)</w:t>
            </w:r>
            <w:r w:rsidRPr="00EE294E">
              <w:rPr>
                <w:rFonts w:ascii="Times New Roman" w:eastAsia="Calibri" w:hAnsi="Times New Roman" w:cs="Times New Roman"/>
                <w:sz w:val="20"/>
                <w:szCs w:val="20"/>
              </w:rPr>
              <w:tab/>
              <w:t xml:space="preserve">“BIC”  Është kodi unik ndërkombëtar që identifikon institucinin financiar përgjegjës për pagesën ndërkufitare. </w:t>
            </w:r>
          </w:p>
          <w:p w14:paraId="7CF11600" w14:textId="77777777" w:rsidR="00DF7851" w:rsidRPr="00EE294E" w:rsidRDefault="00DF7851" w:rsidP="00DF7851">
            <w:pPr>
              <w:spacing w:line="276" w:lineRule="auto"/>
              <w:jc w:val="both"/>
              <w:rPr>
                <w:rFonts w:ascii="Times New Roman" w:eastAsia="Calibri" w:hAnsi="Times New Roman" w:cs="Times New Roman"/>
                <w:sz w:val="20"/>
                <w:szCs w:val="20"/>
              </w:rPr>
            </w:pPr>
          </w:p>
          <w:p w14:paraId="47E5EE2B" w14:textId="1D91585D" w:rsidR="00DF7851" w:rsidRPr="00EE294E" w:rsidRDefault="00DF7851" w:rsidP="00DF7851">
            <w:pPr>
              <w:spacing w:line="276" w:lineRule="auto"/>
              <w:jc w:val="both"/>
              <w:rPr>
                <w:rFonts w:ascii="Times New Roman" w:eastAsia="Calibri" w:hAnsi="Times New Roman" w:cs="Times New Roman"/>
                <w:sz w:val="20"/>
                <w:szCs w:val="20"/>
              </w:rPr>
            </w:pPr>
            <w:r w:rsidRPr="00EE294E">
              <w:rPr>
                <w:rFonts w:ascii="Times New Roman" w:eastAsia="Calibri" w:hAnsi="Times New Roman" w:cs="Times New Roman"/>
                <w:sz w:val="20"/>
                <w:szCs w:val="20"/>
              </w:rPr>
              <w:t>k)</w:t>
            </w:r>
            <w:r w:rsidRPr="00EE294E">
              <w:rPr>
                <w:rFonts w:ascii="Times New Roman" w:eastAsia="Calibri" w:hAnsi="Times New Roman" w:cs="Times New Roman"/>
                <w:sz w:val="20"/>
                <w:szCs w:val="20"/>
              </w:rPr>
              <w:tab/>
              <w:t xml:space="preserve">“Territor i tretë” është çdo territor që është pjesë e një Shteti Anëtar të Bashkimit Evropian, por nuk është pjesë e territorit të Bashkimit Evropian për qëllime </w:t>
            </w:r>
            <w:r w:rsidR="009A70F7" w:rsidRPr="00EE294E">
              <w:rPr>
                <w:rFonts w:ascii="Times New Roman" w:eastAsia="Calibri" w:hAnsi="Times New Roman" w:cs="Times New Roman"/>
                <w:sz w:val="20"/>
                <w:szCs w:val="20"/>
              </w:rPr>
              <w:t>TVSH-së.</w:t>
            </w:r>
          </w:p>
          <w:p w14:paraId="5AEEBE50" w14:textId="77777777" w:rsidR="00DF7851" w:rsidRPr="00EE294E" w:rsidRDefault="00DF7851" w:rsidP="00DF7851">
            <w:pPr>
              <w:spacing w:line="276" w:lineRule="auto"/>
              <w:jc w:val="both"/>
              <w:rPr>
                <w:rFonts w:ascii="Times New Roman" w:eastAsia="Calibri" w:hAnsi="Times New Roman" w:cs="Times New Roman"/>
                <w:sz w:val="20"/>
                <w:szCs w:val="20"/>
              </w:rPr>
            </w:pPr>
          </w:p>
          <w:p w14:paraId="1AF536FD" w14:textId="1407E2F9" w:rsidR="003C045B" w:rsidRPr="00EE294E" w:rsidRDefault="00DF7851" w:rsidP="00DF7851">
            <w:pPr>
              <w:spacing w:line="276" w:lineRule="auto"/>
              <w:jc w:val="both"/>
              <w:rPr>
                <w:rFonts w:ascii="Times New Roman" w:eastAsia="Calibri" w:hAnsi="Times New Roman" w:cs="Times New Roman"/>
                <w:sz w:val="20"/>
                <w:szCs w:val="20"/>
              </w:rPr>
            </w:pPr>
            <w:r w:rsidRPr="00EE294E">
              <w:rPr>
                <w:rFonts w:ascii="Times New Roman" w:eastAsia="Calibri" w:hAnsi="Times New Roman" w:cs="Times New Roman"/>
                <w:sz w:val="20"/>
                <w:szCs w:val="20"/>
              </w:rPr>
              <w:t>l)</w:t>
            </w:r>
            <w:r w:rsidRPr="00EE294E">
              <w:rPr>
                <w:rFonts w:ascii="Times New Roman" w:eastAsia="Calibri" w:hAnsi="Times New Roman" w:cs="Times New Roman"/>
                <w:sz w:val="20"/>
                <w:szCs w:val="20"/>
              </w:rPr>
              <w:tab/>
              <w:t>“Vend i tretë” është çdo juridiksion që nuk është Shtet Anëtar i Bashkimit Evropian.</w:t>
            </w:r>
          </w:p>
        </w:tc>
        <w:tc>
          <w:tcPr>
            <w:tcW w:w="720" w:type="dxa"/>
            <w:tcBorders>
              <w:bottom w:val="dashed" w:sz="4" w:space="0" w:color="auto"/>
            </w:tcBorders>
          </w:tcPr>
          <w:p w14:paraId="4C4B4DD1" w14:textId="54EC29F6" w:rsidR="003C045B" w:rsidRPr="00EE294E" w:rsidRDefault="003C045B" w:rsidP="003C045B">
            <w:pPr>
              <w:jc w:val="center"/>
              <w:rPr>
                <w:rFonts w:ascii="Times New Roman" w:eastAsia="Calibri" w:hAnsi="Times New Roman" w:cs="Times New Roman"/>
                <w:sz w:val="20"/>
                <w:szCs w:val="20"/>
                <w:lang w:val="en-US"/>
              </w:rPr>
            </w:pPr>
            <w:r w:rsidRPr="00EE294E">
              <w:rPr>
                <w:rFonts w:ascii="Times New Roman" w:eastAsia="Calibri" w:hAnsi="Times New Roman" w:cs="Times New Roman"/>
                <w:sz w:val="20"/>
                <w:szCs w:val="20"/>
                <w:lang w:val="en-US"/>
              </w:rPr>
              <w:lastRenderedPageBreak/>
              <w:t>F</w:t>
            </w:r>
          </w:p>
        </w:tc>
        <w:tc>
          <w:tcPr>
            <w:tcW w:w="3510" w:type="dxa"/>
            <w:tcBorders>
              <w:bottom w:val="dashed" w:sz="4" w:space="0" w:color="auto"/>
            </w:tcBorders>
          </w:tcPr>
          <w:p w14:paraId="1A9ABFDA" w14:textId="64884101" w:rsidR="00F07018" w:rsidRPr="00EE294E" w:rsidRDefault="003C045B" w:rsidP="00EE294E">
            <w:pPr>
              <w:jc w:val="both"/>
              <w:rPr>
                <w:rFonts w:ascii="Times New Roman" w:eastAsia="Times New Roman" w:hAnsi="Times New Roman" w:cs="Times New Roman"/>
                <w:sz w:val="20"/>
                <w:szCs w:val="20"/>
              </w:rPr>
            </w:pPr>
            <w:r w:rsidRPr="00EE294E">
              <w:rPr>
                <w:rFonts w:ascii="Times New Roman" w:eastAsia="Times New Roman" w:hAnsi="Times New Roman" w:cs="Times New Roman"/>
                <w:sz w:val="20"/>
                <w:szCs w:val="20"/>
              </w:rPr>
              <w:t>Plotësisht në përputhje.</w:t>
            </w:r>
          </w:p>
          <w:p w14:paraId="16C99F27" w14:textId="3E4679AD" w:rsidR="003C045B" w:rsidRPr="00EE294E" w:rsidRDefault="003C045B" w:rsidP="00EE294E">
            <w:pPr>
              <w:jc w:val="both"/>
              <w:rPr>
                <w:rFonts w:ascii="Times New Roman" w:eastAsia="Times New Roman" w:hAnsi="Times New Roman" w:cs="Times New Roman"/>
                <w:sz w:val="20"/>
                <w:szCs w:val="20"/>
              </w:rPr>
            </w:pPr>
            <w:r w:rsidRPr="00EE294E">
              <w:rPr>
                <w:rFonts w:ascii="Times New Roman" w:eastAsia="Times New Roman" w:hAnsi="Times New Roman" w:cs="Times New Roman"/>
                <w:sz w:val="20"/>
                <w:szCs w:val="20"/>
              </w:rPr>
              <w:t>Neni 4 përcakton termat dhe konceptet kryesore të pagesave ndërkufitare, duke harmonizuar terminologjinë me Direktivën 2020/284, nenin 243a të Direktivës 2006/112/KE.</w:t>
            </w:r>
          </w:p>
          <w:p w14:paraId="703D65DD" w14:textId="77777777" w:rsidR="003344C0" w:rsidRPr="00EE294E" w:rsidRDefault="003344C0" w:rsidP="00EE294E">
            <w:pPr>
              <w:jc w:val="both"/>
              <w:rPr>
                <w:rFonts w:ascii="Times New Roman" w:eastAsia="Times New Roman" w:hAnsi="Times New Roman" w:cs="Times New Roman"/>
                <w:color w:val="FF0000"/>
                <w:sz w:val="20"/>
                <w:szCs w:val="20"/>
              </w:rPr>
            </w:pPr>
          </w:p>
          <w:p w14:paraId="4752D6D7" w14:textId="6BF7BB54" w:rsidR="00F07018" w:rsidRPr="00EE294E" w:rsidRDefault="00F07018" w:rsidP="00EE294E">
            <w:pPr>
              <w:spacing w:before="100" w:beforeAutospacing="1" w:after="100" w:afterAutospacing="1"/>
              <w:jc w:val="both"/>
              <w:rPr>
                <w:rFonts w:ascii="Times New Roman" w:eastAsia="Times New Roman" w:hAnsi="Times New Roman" w:cs="Times New Roman"/>
                <w:sz w:val="20"/>
                <w:szCs w:val="20"/>
              </w:rPr>
            </w:pPr>
            <w:r w:rsidRPr="00EE294E">
              <w:rPr>
                <w:rFonts w:ascii="Times New Roman" w:eastAsia="Times New Roman" w:hAnsi="Times New Roman" w:cs="Times New Roman"/>
                <w:sz w:val="20"/>
                <w:szCs w:val="20"/>
              </w:rPr>
              <w:t>Për disa përkufizime, Direktiva (BE) 2020/283 i referohet Nenit 4 të Direktivës (BE) 2015/2366, e cila është transpozuar në Ligjin Nr. 55/20</w:t>
            </w:r>
            <w:r w:rsidR="00275D17" w:rsidRPr="00EE294E">
              <w:rPr>
                <w:rFonts w:ascii="Times New Roman" w:eastAsia="Times New Roman" w:hAnsi="Times New Roman" w:cs="Times New Roman"/>
                <w:sz w:val="20"/>
                <w:szCs w:val="20"/>
              </w:rPr>
              <w:t>20</w:t>
            </w:r>
            <w:r w:rsidRPr="00EE294E">
              <w:rPr>
                <w:rFonts w:ascii="Times New Roman" w:eastAsia="Times New Roman" w:hAnsi="Times New Roman" w:cs="Times New Roman"/>
                <w:sz w:val="20"/>
                <w:szCs w:val="20"/>
              </w:rPr>
              <w:t xml:space="preserve"> “Për Shërbimet e Pagesave”. Në ndryshimet e propozuara në Ligjin Nr. 55/2020 nga Banka e Shqipërisë, në kuadër të Kapitullit 4, përfshihen termat e mëposhtëm, të cituar si më poshtë:</w:t>
            </w:r>
          </w:p>
          <w:p w14:paraId="5008D8A3" w14:textId="77777777" w:rsidR="00F07018" w:rsidRPr="00EE294E" w:rsidRDefault="00F07018" w:rsidP="00EE294E">
            <w:pPr>
              <w:spacing w:before="100" w:beforeAutospacing="1" w:after="100" w:afterAutospacing="1"/>
              <w:jc w:val="both"/>
              <w:rPr>
                <w:rFonts w:ascii="Times New Roman" w:eastAsia="Times New Roman" w:hAnsi="Times New Roman" w:cs="Times New Roman"/>
                <w:i/>
                <w:iCs/>
                <w:sz w:val="20"/>
                <w:szCs w:val="20"/>
              </w:rPr>
            </w:pPr>
            <w:r w:rsidRPr="00EE294E">
              <w:rPr>
                <w:rFonts w:ascii="Times New Roman" w:eastAsia="Times New Roman" w:hAnsi="Times New Roman" w:cs="Times New Roman"/>
                <w:i/>
                <w:iCs/>
                <w:sz w:val="20"/>
                <w:szCs w:val="20"/>
              </w:rPr>
              <w:t>“40/1. 'Shtet Anëtar' do të thotë një Shtet Anëtar i Bashkimit Evropian ose një shtet palë në Marrëveshjen për Themelimin e Zonës Ekonomike Evropiane.</w:t>
            </w:r>
          </w:p>
          <w:p w14:paraId="7E6BB995" w14:textId="77777777" w:rsidR="00F07018" w:rsidRPr="00EE294E" w:rsidRDefault="00F07018" w:rsidP="00EE294E">
            <w:pPr>
              <w:spacing w:before="100" w:beforeAutospacing="1" w:after="100" w:afterAutospacing="1"/>
              <w:jc w:val="both"/>
              <w:rPr>
                <w:rFonts w:ascii="Times New Roman" w:eastAsia="Times New Roman" w:hAnsi="Times New Roman" w:cs="Times New Roman"/>
                <w:i/>
                <w:iCs/>
                <w:sz w:val="20"/>
                <w:szCs w:val="20"/>
              </w:rPr>
            </w:pPr>
            <w:r w:rsidRPr="00EE294E">
              <w:rPr>
                <w:rFonts w:ascii="Times New Roman" w:eastAsia="Times New Roman" w:hAnsi="Times New Roman" w:cs="Times New Roman"/>
                <w:i/>
                <w:iCs/>
                <w:sz w:val="20"/>
                <w:szCs w:val="20"/>
              </w:rPr>
              <w:t xml:space="preserve">40/2. 'Shteti Anëtar i Origjinës' do të thotë një nga sa vijon: </w:t>
            </w:r>
            <w:r w:rsidRPr="00EE294E">
              <w:rPr>
                <w:rFonts w:ascii="Times New Roman" w:eastAsia="Times New Roman" w:hAnsi="Times New Roman" w:cs="Times New Roman"/>
                <w:i/>
                <w:iCs/>
                <w:sz w:val="20"/>
                <w:szCs w:val="20"/>
              </w:rPr>
              <w:br/>
              <w:t xml:space="preserve">a) Shteti Anëtar në të cilin është themeluar selia e regjistruar e ofruesit të shërbimit të pagesave; ose </w:t>
            </w:r>
            <w:r w:rsidRPr="00EE294E">
              <w:rPr>
                <w:rFonts w:ascii="Times New Roman" w:eastAsia="Times New Roman" w:hAnsi="Times New Roman" w:cs="Times New Roman"/>
                <w:i/>
                <w:iCs/>
                <w:sz w:val="20"/>
                <w:szCs w:val="20"/>
              </w:rPr>
              <w:br/>
              <w:t>b) nëse ofruesi i shërbimit të pagesave, sipas ligjit të tij kombëtar, nuk ka seli të regjistruar, Shteti Anëtar në të cilin është themeluar selia e tij qendrore.</w:t>
            </w:r>
          </w:p>
          <w:p w14:paraId="05BB7734" w14:textId="77777777" w:rsidR="00F07018" w:rsidRPr="00EE294E" w:rsidRDefault="00F07018" w:rsidP="00EE294E">
            <w:pPr>
              <w:spacing w:before="100" w:beforeAutospacing="1" w:after="100" w:afterAutospacing="1"/>
              <w:jc w:val="both"/>
              <w:rPr>
                <w:rFonts w:ascii="Times New Roman" w:eastAsia="Times New Roman" w:hAnsi="Times New Roman" w:cs="Times New Roman"/>
                <w:i/>
                <w:iCs/>
                <w:sz w:val="20"/>
                <w:szCs w:val="20"/>
              </w:rPr>
            </w:pPr>
            <w:r w:rsidRPr="00EE294E">
              <w:rPr>
                <w:rFonts w:ascii="Times New Roman" w:eastAsia="Times New Roman" w:hAnsi="Times New Roman" w:cs="Times New Roman"/>
                <w:i/>
                <w:iCs/>
                <w:sz w:val="20"/>
                <w:szCs w:val="20"/>
              </w:rPr>
              <w:lastRenderedPageBreak/>
              <w:t>40/3. 'Shteti Anëtar Pritës' do të thotë një Shtet Anëtar, përveç Shtetit Anëtar të Origjinës, në të cilin ofruesi i shërbimit të pagesave ka një agjent ose një degë, ose ku ofron shërbime pagesash.</w:t>
            </w:r>
          </w:p>
          <w:p w14:paraId="7FF536D2" w14:textId="314584E2" w:rsidR="003344C0" w:rsidRPr="00EE294E" w:rsidRDefault="003344C0" w:rsidP="00EE294E">
            <w:pPr>
              <w:jc w:val="both"/>
              <w:rPr>
                <w:rFonts w:ascii="Times New Roman" w:eastAsia="Calibri" w:hAnsi="Times New Roman" w:cs="Times New Roman"/>
                <w:sz w:val="20"/>
                <w:szCs w:val="20"/>
              </w:rPr>
            </w:pPr>
          </w:p>
        </w:tc>
      </w:tr>
      <w:tr w:rsidR="003C045B" w:rsidRPr="00EE294E" w14:paraId="176342C5" w14:textId="77777777" w:rsidTr="00990A3C">
        <w:tc>
          <w:tcPr>
            <w:tcW w:w="540" w:type="dxa"/>
            <w:shd w:val="clear" w:color="auto" w:fill="D0CECE" w:themeFill="background2" w:themeFillShade="E6"/>
          </w:tcPr>
          <w:p w14:paraId="5BF8CE7D" w14:textId="4193C503" w:rsidR="003C045B" w:rsidRPr="00EE294E" w:rsidRDefault="003C045B" w:rsidP="003C045B">
            <w:pPr>
              <w:jc w:val="both"/>
              <w:rPr>
                <w:rFonts w:ascii="Times New Roman" w:eastAsia="Calibri" w:hAnsi="Times New Roman" w:cs="Times New Roman"/>
                <w:sz w:val="20"/>
                <w:szCs w:val="20"/>
              </w:rPr>
            </w:pPr>
          </w:p>
        </w:tc>
        <w:tc>
          <w:tcPr>
            <w:tcW w:w="5400" w:type="dxa"/>
            <w:shd w:val="clear" w:color="auto" w:fill="D0CECE" w:themeFill="background2" w:themeFillShade="E6"/>
          </w:tcPr>
          <w:p w14:paraId="7316743D" w14:textId="51E10BF0" w:rsidR="003C045B" w:rsidRPr="00EE294E" w:rsidRDefault="003C045B" w:rsidP="003C045B">
            <w:pPr>
              <w:jc w:val="both"/>
              <w:rPr>
                <w:rFonts w:ascii="Times New Roman" w:eastAsia="Calibri" w:hAnsi="Times New Roman" w:cs="Times New Roman"/>
                <w:i/>
                <w:iCs/>
                <w:sz w:val="20"/>
                <w:szCs w:val="20"/>
              </w:rPr>
            </w:pPr>
          </w:p>
        </w:tc>
        <w:tc>
          <w:tcPr>
            <w:tcW w:w="450" w:type="dxa"/>
            <w:shd w:val="clear" w:color="auto" w:fill="D0CECE" w:themeFill="background2" w:themeFillShade="E6"/>
          </w:tcPr>
          <w:p w14:paraId="3480EEE0" w14:textId="1312C375" w:rsidR="003C045B" w:rsidRPr="00EE294E" w:rsidRDefault="003C045B" w:rsidP="003C045B">
            <w:pPr>
              <w:jc w:val="center"/>
              <w:rPr>
                <w:rFonts w:ascii="Times New Roman" w:eastAsia="Calibri" w:hAnsi="Times New Roman" w:cs="Times New Roman"/>
                <w:i/>
                <w:iCs/>
                <w:sz w:val="20"/>
                <w:szCs w:val="20"/>
              </w:rPr>
            </w:pPr>
          </w:p>
        </w:tc>
        <w:tc>
          <w:tcPr>
            <w:tcW w:w="644" w:type="dxa"/>
            <w:shd w:val="clear" w:color="auto" w:fill="D0CECE" w:themeFill="background2" w:themeFillShade="E6"/>
          </w:tcPr>
          <w:p w14:paraId="355EA527" w14:textId="41C73A42" w:rsidR="003C045B" w:rsidRPr="00EE294E" w:rsidRDefault="003C045B" w:rsidP="0009621F">
            <w:pPr>
              <w:jc w:val="center"/>
              <w:rPr>
                <w:rFonts w:ascii="Times New Roman" w:eastAsia="Calibri" w:hAnsi="Times New Roman" w:cs="Times New Roman"/>
                <w:i/>
                <w:iCs/>
                <w:sz w:val="20"/>
                <w:szCs w:val="20"/>
              </w:rPr>
            </w:pPr>
          </w:p>
        </w:tc>
        <w:tc>
          <w:tcPr>
            <w:tcW w:w="5040" w:type="dxa"/>
            <w:shd w:val="clear" w:color="auto" w:fill="D0CECE" w:themeFill="background2" w:themeFillShade="E6"/>
          </w:tcPr>
          <w:p w14:paraId="633A4648" w14:textId="77777777" w:rsidR="00DF7851" w:rsidRPr="00EE294E" w:rsidRDefault="00DF7851" w:rsidP="00201DBB">
            <w:pPr>
              <w:jc w:val="center"/>
              <w:rPr>
                <w:rFonts w:ascii="Times New Roman" w:hAnsi="Times New Roman" w:cs="Times New Roman"/>
                <w:iCs/>
                <w:sz w:val="20"/>
                <w:szCs w:val="20"/>
              </w:rPr>
            </w:pPr>
          </w:p>
          <w:p w14:paraId="1E392C00" w14:textId="77777777" w:rsidR="00DF7851" w:rsidRPr="00EE294E" w:rsidRDefault="00DF7851" w:rsidP="00201DBB">
            <w:pPr>
              <w:jc w:val="center"/>
              <w:rPr>
                <w:rFonts w:ascii="Times New Roman" w:hAnsi="Times New Roman" w:cs="Times New Roman"/>
                <w:iCs/>
                <w:sz w:val="20"/>
                <w:szCs w:val="20"/>
              </w:rPr>
            </w:pPr>
          </w:p>
          <w:p w14:paraId="4F0B8ADC" w14:textId="4DA71764" w:rsidR="00201DBB" w:rsidRPr="00EE294E" w:rsidRDefault="00201DBB" w:rsidP="00201DBB">
            <w:pPr>
              <w:jc w:val="center"/>
              <w:rPr>
                <w:rFonts w:ascii="Times New Roman" w:hAnsi="Times New Roman" w:cs="Times New Roman"/>
                <w:b/>
                <w:bCs/>
                <w:iCs/>
                <w:sz w:val="20"/>
                <w:szCs w:val="20"/>
              </w:rPr>
            </w:pPr>
            <w:r w:rsidRPr="00EE294E">
              <w:rPr>
                <w:rFonts w:ascii="Times New Roman" w:hAnsi="Times New Roman" w:cs="Times New Roman"/>
                <w:b/>
                <w:bCs/>
                <w:iCs/>
                <w:sz w:val="20"/>
                <w:szCs w:val="20"/>
              </w:rPr>
              <w:t>Neni 5</w:t>
            </w:r>
          </w:p>
          <w:p w14:paraId="0AF2ABED" w14:textId="0468CE8A" w:rsidR="003C045B" w:rsidRPr="00EE294E" w:rsidRDefault="00201DBB" w:rsidP="007022FA">
            <w:pPr>
              <w:jc w:val="center"/>
              <w:rPr>
                <w:rFonts w:ascii="Times New Roman" w:hAnsi="Times New Roman" w:cs="Times New Roman"/>
                <w:i/>
                <w:iCs/>
                <w:sz w:val="20"/>
                <w:szCs w:val="20"/>
              </w:rPr>
            </w:pPr>
            <w:r w:rsidRPr="00EE294E">
              <w:rPr>
                <w:rFonts w:ascii="Times New Roman" w:hAnsi="Times New Roman" w:cs="Times New Roman"/>
                <w:b/>
                <w:bCs/>
                <w:iCs/>
                <w:sz w:val="20"/>
                <w:szCs w:val="20"/>
              </w:rPr>
              <w:t>Parimet e përgjithshme për shkëmbimin e informacionit</w:t>
            </w:r>
          </w:p>
        </w:tc>
        <w:tc>
          <w:tcPr>
            <w:tcW w:w="720" w:type="dxa"/>
            <w:shd w:val="clear" w:color="auto" w:fill="D0CECE" w:themeFill="background2" w:themeFillShade="E6"/>
          </w:tcPr>
          <w:p w14:paraId="1ABA6603" w14:textId="3378F120" w:rsidR="003C045B" w:rsidRPr="00EE294E" w:rsidRDefault="003C045B" w:rsidP="003C045B">
            <w:pPr>
              <w:jc w:val="center"/>
              <w:rPr>
                <w:rFonts w:ascii="Times New Roman" w:eastAsia="Calibri" w:hAnsi="Times New Roman" w:cs="Times New Roman"/>
                <w:i/>
                <w:iCs/>
                <w:sz w:val="20"/>
                <w:szCs w:val="20"/>
                <w:lang w:val="it-CH"/>
              </w:rPr>
            </w:pPr>
          </w:p>
        </w:tc>
        <w:tc>
          <w:tcPr>
            <w:tcW w:w="3510" w:type="dxa"/>
            <w:shd w:val="clear" w:color="auto" w:fill="D0CECE" w:themeFill="background2" w:themeFillShade="E6"/>
          </w:tcPr>
          <w:p w14:paraId="7BE83C6E" w14:textId="07D4A64D" w:rsidR="003C045B" w:rsidRPr="00EE294E" w:rsidRDefault="003C045B" w:rsidP="003C045B">
            <w:pPr>
              <w:rPr>
                <w:rFonts w:ascii="Times New Roman" w:eastAsia="Calibri" w:hAnsi="Times New Roman" w:cs="Times New Roman"/>
                <w:i/>
                <w:iCs/>
                <w:sz w:val="20"/>
                <w:szCs w:val="20"/>
                <w:lang w:val="it-CH"/>
              </w:rPr>
            </w:pPr>
          </w:p>
        </w:tc>
      </w:tr>
      <w:tr w:rsidR="003C045B" w:rsidRPr="00EE294E" w14:paraId="05E7A252" w14:textId="77777777" w:rsidTr="004738EE">
        <w:trPr>
          <w:trHeight w:val="870"/>
        </w:trPr>
        <w:tc>
          <w:tcPr>
            <w:tcW w:w="540" w:type="dxa"/>
          </w:tcPr>
          <w:p w14:paraId="56054E51" w14:textId="1549FBFD" w:rsidR="003C045B" w:rsidRPr="00EE294E" w:rsidRDefault="003C045B" w:rsidP="003C045B">
            <w:pPr>
              <w:jc w:val="both"/>
              <w:rPr>
                <w:rFonts w:ascii="Times New Roman" w:eastAsia="Calibri" w:hAnsi="Times New Roman" w:cs="Times New Roman"/>
                <w:sz w:val="20"/>
                <w:szCs w:val="20"/>
                <w:lang w:val="it-CH"/>
              </w:rPr>
            </w:pPr>
          </w:p>
        </w:tc>
        <w:tc>
          <w:tcPr>
            <w:tcW w:w="5400" w:type="dxa"/>
          </w:tcPr>
          <w:p w14:paraId="6AAB437B" w14:textId="77777777" w:rsidR="007C509C" w:rsidRPr="00EE294E" w:rsidRDefault="007C509C" w:rsidP="007C509C">
            <w:pPr>
              <w:jc w:val="center"/>
              <w:rPr>
                <w:rFonts w:ascii="Times New Roman" w:eastAsia="Calibri" w:hAnsi="Times New Roman" w:cs="Times New Roman"/>
                <w:iCs/>
                <w:sz w:val="20"/>
                <w:szCs w:val="20"/>
                <w:lang w:val="it-CH"/>
              </w:rPr>
            </w:pPr>
          </w:p>
          <w:p w14:paraId="249A4F98" w14:textId="097BBA6B" w:rsidR="003C045B" w:rsidRPr="00EE294E" w:rsidRDefault="007C509C" w:rsidP="007022FA">
            <w:pPr>
              <w:jc w:val="center"/>
              <w:rPr>
                <w:rFonts w:ascii="Times New Roman" w:eastAsia="Calibri" w:hAnsi="Times New Roman" w:cs="Times New Roman"/>
                <w:iCs/>
                <w:sz w:val="20"/>
                <w:szCs w:val="20"/>
                <w:lang w:val="en-US"/>
              </w:rPr>
            </w:pPr>
            <w:r w:rsidRPr="00EE294E">
              <w:rPr>
                <w:rFonts w:ascii="Times New Roman" w:eastAsia="Calibri" w:hAnsi="Times New Roman" w:cs="Times New Roman"/>
                <w:iCs/>
                <w:sz w:val="20"/>
                <w:szCs w:val="20"/>
                <w:lang w:val="en-US"/>
              </w:rPr>
              <w:t>N/A</w:t>
            </w:r>
          </w:p>
        </w:tc>
        <w:tc>
          <w:tcPr>
            <w:tcW w:w="450" w:type="dxa"/>
          </w:tcPr>
          <w:p w14:paraId="59B66D4C" w14:textId="00B84A40" w:rsidR="003C045B" w:rsidRPr="00EE294E" w:rsidRDefault="003C045B" w:rsidP="003C045B">
            <w:pPr>
              <w:jc w:val="center"/>
              <w:rPr>
                <w:rFonts w:ascii="Times New Roman" w:eastAsia="Calibri" w:hAnsi="Times New Roman" w:cs="Times New Roman"/>
                <w:sz w:val="20"/>
                <w:szCs w:val="20"/>
              </w:rPr>
            </w:pPr>
          </w:p>
        </w:tc>
        <w:tc>
          <w:tcPr>
            <w:tcW w:w="644" w:type="dxa"/>
          </w:tcPr>
          <w:p w14:paraId="5ABADC9F" w14:textId="29DD2FFA" w:rsidR="003C045B" w:rsidRPr="00EE294E" w:rsidRDefault="002A7599" w:rsidP="003C045B">
            <w:pPr>
              <w:jc w:val="center"/>
              <w:rPr>
                <w:rFonts w:ascii="Times New Roman" w:eastAsia="Calibri" w:hAnsi="Times New Roman" w:cs="Times New Roman"/>
                <w:sz w:val="20"/>
                <w:szCs w:val="20"/>
                <w:lang w:val="en-US"/>
              </w:rPr>
            </w:pPr>
            <w:r w:rsidRPr="00EE294E">
              <w:rPr>
                <w:rFonts w:ascii="Times New Roman" w:eastAsia="Calibri" w:hAnsi="Times New Roman" w:cs="Times New Roman"/>
                <w:sz w:val="20"/>
                <w:szCs w:val="20"/>
                <w:lang w:val="en-US"/>
              </w:rPr>
              <w:t xml:space="preserve">Neni 5 </w:t>
            </w:r>
          </w:p>
        </w:tc>
        <w:tc>
          <w:tcPr>
            <w:tcW w:w="5040" w:type="dxa"/>
            <w:tcBorders>
              <w:bottom w:val="dashed" w:sz="4" w:space="0" w:color="auto"/>
            </w:tcBorders>
          </w:tcPr>
          <w:p w14:paraId="0B4DE358" w14:textId="349AE3E7" w:rsidR="003C045B" w:rsidRPr="00EE294E" w:rsidRDefault="003C045B" w:rsidP="003C045B">
            <w:pPr>
              <w:jc w:val="center"/>
              <w:rPr>
                <w:rFonts w:ascii="Times New Roman" w:hAnsi="Times New Roman" w:cs="Times New Roman"/>
                <w:sz w:val="20"/>
                <w:szCs w:val="20"/>
              </w:rPr>
            </w:pPr>
          </w:p>
          <w:p w14:paraId="4DAEA1FE" w14:textId="19DA73AA" w:rsidR="003C045B" w:rsidRPr="00EE294E" w:rsidRDefault="00DF7851" w:rsidP="00952ABD">
            <w:pPr>
              <w:jc w:val="both"/>
              <w:rPr>
                <w:rFonts w:ascii="Times New Roman" w:eastAsia="Calibri" w:hAnsi="Times New Roman" w:cs="Times New Roman"/>
                <w:sz w:val="20"/>
                <w:szCs w:val="20"/>
              </w:rPr>
            </w:pPr>
            <w:r w:rsidRPr="00EE294E">
              <w:rPr>
                <w:rFonts w:ascii="Times New Roman" w:eastAsia="Calibri" w:hAnsi="Times New Roman" w:cs="Times New Roman"/>
                <w:sz w:val="20"/>
                <w:szCs w:val="20"/>
              </w:rPr>
              <w:t xml:space="preserve">Shkëmbimi i informacionit mbi pagesat ndërkufitare realizohet duke respektuar konfidencialitetin, sigurinë dhe mbrojtjen e të dhënave personale, në përputhje me legjislacionin kombëtar dhe Rregulloren (BE) 2016/679 (GDPR) si dhe aktet e tjera të </w:t>
            </w:r>
            <w:r w:rsidR="009A70F7" w:rsidRPr="00EE294E">
              <w:rPr>
                <w:rFonts w:ascii="Times New Roman" w:eastAsia="Calibri" w:hAnsi="Times New Roman" w:cs="Times New Roman"/>
                <w:sz w:val="20"/>
                <w:szCs w:val="20"/>
              </w:rPr>
              <w:t xml:space="preserve">Bashkimit Evropian </w:t>
            </w:r>
            <w:r w:rsidRPr="00EE294E">
              <w:rPr>
                <w:rFonts w:ascii="Times New Roman" w:eastAsia="Calibri" w:hAnsi="Times New Roman" w:cs="Times New Roman"/>
                <w:sz w:val="20"/>
                <w:szCs w:val="20"/>
              </w:rPr>
              <w:t>për mbrojtjen e të dhënave personale.</w:t>
            </w:r>
          </w:p>
        </w:tc>
        <w:tc>
          <w:tcPr>
            <w:tcW w:w="720" w:type="dxa"/>
            <w:tcBorders>
              <w:bottom w:val="dashed" w:sz="4" w:space="0" w:color="auto"/>
            </w:tcBorders>
          </w:tcPr>
          <w:p w14:paraId="3F896C22" w14:textId="5CF9E139" w:rsidR="003C045B" w:rsidRPr="00EE294E" w:rsidRDefault="003C045B" w:rsidP="003C045B">
            <w:pPr>
              <w:jc w:val="center"/>
              <w:rPr>
                <w:rFonts w:ascii="Times New Roman" w:eastAsia="Calibri" w:hAnsi="Times New Roman" w:cs="Times New Roman"/>
                <w:sz w:val="20"/>
                <w:szCs w:val="20"/>
              </w:rPr>
            </w:pPr>
          </w:p>
        </w:tc>
        <w:tc>
          <w:tcPr>
            <w:tcW w:w="3510" w:type="dxa"/>
            <w:tcBorders>
              <w:bottom w:val="dashed" w:sz="4" w:space="0" w:color="auto"/>
            </w:tcBorders>
          </w:tcPr>
          <w:p w14:paraId="66DFB167" w14:textId="77777777" w:rsidR="00CB119E" w:rsidRPr="00EE294E" w:rsidRDefault="00CB119E" w:rsidP="00EE294E">
            <w:pPr>
              <w:jc w:val="both"/>
              <w:rPr>
                <w:rFonts w:ascii="Times New Roman" w:eastAsia="Times New Roman" w:hAnsi="Times New Roman" w:cs="Times New Roman"/>
                <w:sz w:val="20"/>
                <w:szCs w:val="20"/>
              </w:rPr>
            </w:pPr>
            <w:r w:rsidRPr="00EE294E">
              <w:rPr>
                <w:rFonts w:ascii="Times New Roman" w:eastAsia="Times New Roman" w:hAnsi="Times New Roman" w:cs="Times New Roman"/>
                <w:sz w:val="20"/>
                <w:szCs w:val="20"/>
              </w:rPr>
              <w:t>Dispozitë kombëtare.</w:t>
            </w:r>
          </w:p>
          <w:p w14:paraId="4DEB08E8" w14:textId="77777777" w:rsidR="00CB119E" w:rsidRPr="00EE294E" w:rsidRDefault="00CB119E" w:rsidP="00EE294E">
            <w:pPr>
              <w:jc w:val="both"/>
              <w:rPr>
                <w:rFonts w:ascii="Times New Roman" w:eastAsia="Times New Roman" w:hAnsi="Times New Roman" w:cs="Times New Roman"/>
                <w:i/>
                <w:sz w:val="20"/>
                <w:szCs w:val="20"/>
              </w:rPr>
            </w:pPr>
          </w:p>
          <w:p w14:paraId="76BFEABA" w14:textId="589B03BB" w:rsidR="003C045B" w:rsidRPr="00EE294E" w:rsidRDefault="003C045B" w:rsidP="00EE294E">
            <w:pPr>
              <w:jc w:val="both"/>
              <w:rPr>
                <w:rFonts w:ascii="Times New Roman" w:eastAsia="Times New Roman" w:hAnsi="Times New Roman" w:cs="Times New Roman"/>
                <w:i/>
                <w:sz w:val="20"/>
                <w:szCs w:val="20"/>
              </w:rPr>
            </w:pPr>
            <w:r w:rsidRPr="00EE294E">
              <w:rPr>
                <w:rFonts w:ascii="Times New Roman" w:eastAsia="Times New Roman" w:hAnsi="Times New Roman" w:cs="Times New Roman"/>
                <w:i/>
                <w:sz w:val="20"/>
                <w:szCs w:val="20"/>
              </w:rPr>
              <w:t>Nuk ka ndonjë artikull specifik që mbulon këtë temë; parimet e konfidencialitetit dhe mbrojtjes së të dhënave përfshihen si parime të përgjithshme.</w:t>
            </w:r>
          </w:p>
          <w:p w14:paraId="16062C8C" w14:textId="4A886068" w:rsidR="003C045B" w:rsidRPr="00EE294E" w:rsidRDefault="003C045B" w:rsidP="00EE294E">
            <w:pPr>
              <w:jc w:val="both"/>
              <w:rPr>
                <w:rFonts w:ascii="Times New Roman" w:eastAsia="Calibri" w:hAnsi="Times New Roman" w:cs="Times New Roman"/>
                <w:sz w:val="20"/>
                <w:szCs w:val="20"/>
              </w:rPr>
            </w:pPr>
            <w:r w:rsidRPr="00EE294E">
              <w:rPr>
                <w:rFonts w:ascii="Times New Roman" w:eastAsia="Times New Roman" w:hAnsi="Times New Roman" w:cs="Times New Roman"/>
                <w:sz w:val="20"/>
                <w:szCs w:val="20"/>
              </w:rPr>
              <w:t xml:space="preserve">Plotësisht në përputhje me rregulloren – Neni 5 përcakton parimet për shkëmbimin e informacionit mbi pagesat ndërkufitare, duke respektuar konfidencialitetin, sigurinë dhe mbrojtjen e të dhënave personale në përputhje me </w:t>
            </w:r>
            <w:r w:rsidR="007A1544" w:rsidRPr="00EE294E">
              <w:rPr>
                <w:rFonts w:ascii="Times New Roman" w:hAnsi="Times New Roman" w:cs="Times New Roman"/>
                <w:sz w:val="20"/>
                <w:szCs w:val="20"/>
              </w:rPr>
              <w:t xml:space="preserve">Rregulloren e Përgjithshme për Mbrojtjen e të Dhënave </w:t>
            </w:r>
            <w:r w:rsidR="007A1544" w:rsidRPr="00EE294E">
              <w:rPr>
                <w:rFonts w:ascii="Times New Roman" w:eastAsia="Times New Roman" w:hAnsi="Times New Roman" w:cs="Times New Roman"/>
                <w:sz w:val="20"/>
                <w:szCs w:val="20"/>
              </w:rPr>
              <w:t>(GDPR) dhe legjislacionin e BE-së.</w:t>
            </w:r>
          </w:p>
        </w:tc>
      </w:tr>
      <w:tr w:rsidR="003C045B" w:rsidRPr="00EE294E" w14:paraId="58B319CC" w14:textId="77777777" w:rsidTr="00990A3C">
        <w:trPr>
          <w:trHeight w:val="584"/>
        </w:trPr>
        <w:tc>
          <w:tcPr>
            <w:tcW w:w="540" w:type="dxa"/>
            <w:shd w:val="clear" w:color="auto" w:fill="D0CECE" w:themeFill="background2" w:themeFillShade="E6"/>
          </w:tcPr>
          <w:p w14:paraId="224AE4C1" w14:textId="0D30AC43" w:rsidR="003C045B" w:rsidRPr="00EE294E" w:rsidRDefault="003C045B" w:rsidP="003C045B">
            <w:pPr>
              <w:jc w:val="both"/>
              <w:rPr>
                <w:rFonts w:ascii="Times New Roman" w:eastAsia="Calibri" w:hAnsi="Times New Roman" w:cs="Times New Roman"/>
                <w:sz w:val="20"/>
                <w:szCs w:val="20"/>
              </w:rPr>
            </w:pPr>
          </w:p>
        </w:tc>
        <w:tc>
          <w:tcPr>
            <w:tcW w:w="5400" w:type="dxa"/>
            <w:shd w:val="clear" w:color="auto" w:fill="D0CECE" w:themeFill="background2" w:themeFillShade="E6"/>
          </w:tcPr>
          <w:p w14:paraId="7CC33995" w14:textId="77777777" w:rsidR="003C045B" w:rsidRPr="00EE294E" w:rsidRDefault="003C045B" w:rsidP="003C045B">
            <w:pPr>
              <w:jc w:val="both"/>
              <w:rPr>
                <w:rFonts w:ascii="Times New Roman" w:eastAsia="Calibri" w:hAnsi="Times New Roman" w:cs="Times New Roman"/>
                <w:i/>
                <w:iCs/>
                <w:sz w:val="20"/>
                <w:szCs w:val="20"/>
              </w:rPr>
            </w:pPr>
          </w:p>
        </w:tc>
        <w:tc>
          <w:tcPr>
            <w:tcW w:w="450" w:type="dxa"/>
            <w:shd w:val="clear" w:color="auto" w:fill="D0CECE" w:themeFill="background2" w:themeFillShade="E6"/>
          </w:tcPr>
          <w:p w14:paraId="00B408AA" w14:textId="4F7D18E3" w:rsidR="003C045B" w:rsidRPr="00EE294E" w:rsidRDefault="003C045B" w:rsidP="003C045B">
            <w:pPr>
              <w:jc w:val="center"/>
              <w:rPr>
                <w:rFonts w:ascii="Times New Roman" w:eastAsia="Calibri" w:hAnsi="Times New Roman" w:cs="Times New Roman"/>
                <w:i/>
                <w:iCs/>
                <w:sz w:val="20"/>
                <w:szCs w:val="20"/>
              </w:rPr>
            </w:pPr>
          </w:p>
        </w:tc>
        <w:tc>
          <w:tcPr>
            <w:tcW w:w="644" w:type="dxa"/>
            <w:shd w:val="clear" w:color="auto" w:fill="D0CECE" w:themeFill="background2" w:themeFillShade="E6"/>
          </w:tcPr>
          <w:p w14:paraId="4FA1D7A2" w14:textId="1B4209C2" w:rsidR="003C045B" w:rsidRPr="00EE294E" w:rsidRDefault="003C045B" w:rsidP="0009621F">
            <w:pPr>
              <w:jc w:val="center"/>
              <w:rPr>
                <w:rFonts w:ascii="Times New Roman" w:eastAsia="Calibri" w:hAnsi="Times New Roman" w:cs="Times New Roman"/>
                <w:i/>
                <w:iCs/>
                <w:sz w:val="20"/>
                <w:szCs w:val="20"/>
              </w:rPr>
            </w:pPr>
          </w:p>
        </w:tc>
        <w:tc>
          <w:tcPr>
            <w:tcW w:w="5040" w:type="dxa"/>
            <w:tcBorders>
              <w:bottom w:val="dashed" w:sz="4" w:space="0" w:color="auto"/>
            </w:tcBorders>
            <w:shd w:val="clear" w:color="auto" w:fill="D0CECE" w:themeFill="background2" w:themeFillShade="E6"/>
          </w:tcPr>
          <w:p w14:paraId="4DD60EAB" w14:textId="77777777" w:rsidR="003C3D4C" w:rsidRPr="00EE294E" w:rsidRDefault="003C3D4C" w:rsidP="003C3D4C">
            <w:pPr>
              <w:jc w:val="center"/>
              <w:rPr>
                <w:rFonts w:ascii="Times New Roman" w:hAnsi="Times New Roman" w:cs="Times New Roman"/>
                <w:b/>
                <w:bCs/>
                <w:iCs/>
                <w:sz w:val="20"/>
                <w:szCs w:val="20"/>
              </w:rPr>
            </w:pPr>
            <w:r w:rsidRPr="00EE294E">
              <w:rPr>
                <w:rFonts w:ascii="Times New Roman" w:hAnsi="Times New Roman" w:cs="Times New Roman"/>
                <w:b/>
                <w:bCs/>
                <w:iCs/>
                <w:sz w:val="20"/>
                <w:szCs w:val="20"/>
              </w:rPr>
              <w:t>Neni 6</w:t>
            </w:r>
          </w:p>
          <w:p w14:paraId="0EDA3A1F" w14:textId="6C93F4D5" w:rsidR="003C045B" w:rsidRPr="00EE294E" w:rsidRDefault="003C3D4C" w:rsidP="003C3D4C">
            <w:pPr>
              <w:jc w:val="center"/>
              <w:rPr>
                <w:rFonts w:ascii="Times New Roman" w:eastAsia="Calibri" w:hAnsi="Times New Roman" w:cs="Times New Roman"/>
                <w:i/>
                <w:iCs/>
                <w:sz w:val="20"/>
                <w:szCs w:val="20"/>
              </w:rPr>
            </w:pPr>
            <w:r w:rsidRPr="00EE294E">
              <w:rPr>
                <w:rFonts w:ascii="Times New Roman" w:hAnsi="Times New Roman" w:cs="Times New Roman"/>
                <w:b/>
                <w:bCs/>
                <w:iCs/>
                <w:sz w:val="20"/>
                <w:szCs w:val="20"/>
              </w:rPr>
              <w:t>Institucion</w:t>
            </w:r>
            <w:r w:rsidR="009363ED" w:rsidRPr="00EE294E">
              <w:rPr>
                <w:rFonts w:ascii="Times New Roman" w:hAnsi="Times New Roman" w:cs="Times New Roman"/>
                <w:b/>
                <w:bCs/>
                <w:iCs/>
                <w:sz w:val="20"/>
                <w:szCs w:val="20"/>
              </w:rPr>
              <w:t>i</w:t>
            </w:r>
            <w:r w:rsidRPr="00EE294E">
              <w:rPr>
                <w:rFonts w:ascii="Times New Roman" w:hAnsi="Times New Roman" w:cs="Times New Roman"/>
                <w:b/>
                <w:bCs/>
                <w:iCs/>
                <w:sz w:val="20"/>
                <w:szCs w:val="20"/>
              </w:rPr>
              <w:t xml:space="preserve"> përgjegjëse për transmetimin dhe shkëmbimin e të dhënave me CESOP</w:t>
            </w:r>
            <w:r w:rsidRPr="00EE294E">
              <w:rPr>
                <w:rFonts w:ascii="Times New Roman" w:hAnsi="Times New Roman" w:cs="Times New Roman"/>
                <w:iCs/>
                <w:sz w:val="20"/>
                <w:szCs w:val="20"/>
              </w:rPr>
              <w:t xml:space="preserve">  </w:t>
            </w:r>
          </w:p>
        </w:tc>
        <w:tc>
          <w:tcPr>
            <w:tcW w:w="720" w:type="dxa"/>
            <w:tcBorders>
              <w:bottom w:val="dashed" w:sz="4" w:space="0" w:color="auto"/>
            </w:tcBorders>
            <w:shd w:val="clear" w:color="auto" w:fill="D0CECE" w:themeFill="background2" w:themeFillShade="E6"/>
          </w:tcPr>
          <w:p w14:paraId="64F469B0" w14:textId="5254E0D7" w:rsidR="003C045B" w:rsidRPr="00EE294E" w:rsidRDefault="003C045B" w:rsidP="003C045B">
            <w:pPr>
              <w:jc w:val="center"/>
              <w:rPr>
                <w:rFonts w:ascii="Times New Roman" w:eastAsia="Calibri" w:hAnsi="Times New Roman" w:cs="Times New Roman"/>
                <w:sz w:val="20"/>
                <w:szCs w:val="20"/>
              </w:rPr>
            </w:pPr>
          </w:p>
        </w:tc>
        <w:tc>
          <w:tcPr>
            <w:tcW w:w="3510" w:type="dxa"/>
            <w:tcBorders>
              <w:bottom w:val="dashed" w:sz="4" w:space="0" w:color="auto"/>
            </w:tcBorders>
            <w:shd w:val="clear" w:color="auto" w:fill="D0CECE" w:themeFill="background2" w:themeFillShade="E6"/>
          </w:tcPr>
          <w:p w14:paraId="0F876825" w14:textId="35858A2B" w:rsidR="003C045B" w:rsidRPr="00EE294E" w:rsidRDefault="003C045B" w:rsidP="003C045B">
            <w:pPr>
              <w:rPr>
                <w:rFonts w:ascii="Times New Roman" w:eastAsia="Calibri" w:hAnsi="Times New Roman" w:cs="Times New Roman"/>
                <w:sz w:val="20"/>
                <w:szCs w:val="20"/>
              </w:rPr>
            </w:pPr>
          </w:p>
        </w:tc>
      </w:tr>
      <w:tr w:rsidR="003C045B" w:rsidRPr="00EE294E" w14:paraId="69F77E82" w14:textId="77777777" w:rsidTr="004738EE">
        <w:tc>
          <w:tcPr>
            <w:tcW w:w="540" w:type="dxa"/>
          </w:tcPr>
          <w:p w14:paraId="69F19673" w14:textId="7B3D6D02" w:rsidR="003C045B" w:rsidRPr="00EE294E" w:rsidRDefault="003C045B" w:rsidP="003C045B">
            <w:pPr>
              <w:jc w:val="both"/>
              <w:rPr>
                <w:rFonts w:ascii="Times New Roman" w:eastAsia="Calibri" w:hAnsi="Times New Roman" w:cs="Times New Roman"/>
                <w:sz w:val="20"/>
                <w:szCs w:val="20"/>
              </w:rPr>
            </w:pPr>
          </w:p>
        </w:tc>
        <w:tc>
          <w:tcPr>
            <w:tcW w:w="5400" w:type="dxa"/>
          </w:tcPr>
          <w:p w14:paraId="4D1B5F6A" w14:textId="77777777" w:rsidR="00A70E48" w:rsidRPr="00EE294E" w:rsidRDefault="00A70E48" w:rsidP="00A70E48">
            <w:pPr>
              <w:jc w:val="both"/>
              <w:rPr>
                <w:rFonts w:ascii="Times New Roman" w:eastAsia="Calibri" w:hAnsi="Times New Roman" w:cs="Times New Roman"/>
                <w:iCs/>
                <w:sz w:val="20"/>
                <w:szCs w:val="20"/>
              </w:rPr>
            </w:pPr>
            <w:r w:rsidRPr="00EE294E">
              <w:rPr>
                <w:rFonts w:ascii="Times New Roman" w:eastAsia="Calibri" w:hAnsi="Times New Roman" w:cs="Times New Roman"/>
                <w:iCs/>
                <w:sz w:val="20"/>
                <w:szCs w:val="20"/>
              </w:rPr>
              <w:t>Neni 24b</w:t>
            </w:r>
          </w:p>
          <w:p w14:paraId="2E284FE8" w14:textId="77777777" w:rsidR="00A70E48" w:rsidRPr="00EE294E" w:rsidRDefault="00A70E48" w:rsidP="00A70E48">
            <w:pPr>
              <w:jc w:val="both"/>
              <w:rPr>
                <w:rFonts w:ascii="Times New Roman" w:eastAsia="Calibri" w:hAnsi="Times New Roman" w:cs="Times New Roman"/>
                <w:iCs/>
                <w:sz w:val="20"/>
                <w:szCs w:val="20"/>
              </w:rPr>
            </w:pPr>
          </w:p>
          <w:p w14:paraId="1C422642" w14:textId="12A09B7F" w:rsidR="00A70E48" w:rsidRPr="00EE294E" w:rsidRDefault="00A70E48" w:rsidP="00652429">
            <w:pPr>
              <w:jc w:val="both"/>
              <w:rPr>
                <w:rFonts w:ascii="Times New Roman" w:eastAsia="Calibri" w:hAnsi="Times New Roman" w:cs="Times New Roman"/>
                <w:iCs/>
                <w:sz w:val="20"/>
                <w:szCs w:val="20"/>
              </w:rPr>
            </w:pPr>
          </w:p>
          <w:p w14:paraId="30C26035" w14:textId="77777777" w:rsidR="00A70E48" w:rsidRPr="00EE294E" w:rsidRDefault="00A70E48" w:rsidP="00A70E48">
            <w:pPr>
              <w:jc w:val="both"/>
              <w:rPr>
                <w:rFonts w:ascii="Times New Roman" w:eastAsia="Calibri" w:hAnsi="Times New Roman" w:cs="Times New Roman"/>
                <w:iCs/>
                <w:sz w:val="20"/>
                <w:szCs w:val="20"/>
              </w:rPr>
            </w:pPr>
          </w:p>
          <w:p w14:paraId="2BF1ADDE" w14:textId="77777777" w:rsidR="00A70E48" w:rsidRPr="00EE294E" w:rsidRDefault="00A70E48" w:rsidP="00A70E48">
            <w:pPr>
              <w:jc w:val="both"/>
              <w:rPr>
                <w:rFonts w:ascii="Times New Roman" w:eastAsia="Calibri" w:hAnsi="Times New Roman" w:cs="Times New Roman"/>
                <w:iCs/>
                <w:sz w:val="20"/>
                <w:szCs w:val="20"/>
              </w:rPr>
            </w:pPr>
            <w:r w:rsidRPr="00EE294E">
              <w:rPr>
                <w:rFonts w:ascii="Times New Roman" w:eastAsia="Calibri" w:hAnsi="Times New Roman" w:cs="Times New Roman"/>
                <w:iCs/>
                <w:sz w:val="20"/>
                <w:szCs w:val="20"/>
              </w:rPr>
              <w:t>2. Çdo Shtet Anëtar mund të ruajë informacionin e mbledhur në përputhje me paragrafin 1 në një sistem elektronik kombëtar.</w:t>
            </w:r>
          </w:p>
          <w:p w14:paraId="71A7E49A" w14:textId="77777777" w:rsidR="00A70E48" w:rsidRPr="00EE294E" w:rsidRDefault="00A70E48" w:rsidP="00A70E48">
            <w:pPr>
              <w:jc w:val="both"/>
              <w:rPr>
                <w:rFonts w:ascii="Times New Roman" w:eastAsia="Calibri" w:hAnsi="Times New Roman" w:cs="Times New Roman"/>
                <w:iCs/>
                <w:sz w:val="20"/>
                <w:szCs w:val="20"/>
              </w:rPr>
            </w:pPr>
          </w:p>
          <w:p w14:paraId="50F9E8AC" w14:textId="77777777" w:rsidR="00A70E48" w:rsidRPr="00EE294E" w:rsidRDefault="00A70E48" w:rsidP="00A70E48">
            <w:pPr>
              <w:jc w:val="both"/>
              <w:rPr>
                <w:rFonts w:ascii="Times New Roman" w:eastAsia="Calibri" w:hAnsi="Times New Roman" w:cs="Times New Roman"/>
                <w:iCs/>
                <w:sz w:val="20"/>
                <w:szCs w:val="20"/>
              </w:rPr>
            </w:pPr>
            <w:r w:rsidRPr="00EE294E">
              <w:rPr>
                <w:rFonts w:ascii="Times New Roman" w:eastAsia="Calibri" w:hAnsi="Times New Roman" w:cs="Times New Roman"/>
                <w:iCs/>
                <w:sz w:val="20"/>
                <w:szCs w:val="20"/>
              </w:rPr>
              <w:t>3. Zyra qendrore e ndërlidhjes, ose departamentet e ndërlidhjes ose zyrtarët kompetentë të caktuar nga autoriteti kompetent i secilit Shtet Anëtar, i transmetojnë CESOP-it informacionin e mbledhur në përputhje me paragrafin 1 jo më vonë se dita e dhjetë e muajit të dytë pas tremujorit kalendarik me të cilin lidhet informacioni.</w:t>
            </w:r>
          </w:p>
          <w:p w14:paraId="7379828A" w14:textId="6984C87B" w:rsidR="003C045B" w:rsidRPr="00EE294E" w:rsidRDefault="003C045B" w:rsidP="003C045B">
            <w:pPr>
              <w:jc w:val="both"/>
              <w:rPr>
                <w:rFonts w:ascii="Times New Roman" w:eastAsia="Calibri" w:hAnsi="Times New Roman" w:cs="Times New Roman"/>
                <w:iCs/>
                <w:sz w:val="20"/>
                <w:szCs w:val="20"/>
              </w:rPr>
            </w:pPr>
          </w:p>
        </w:tc>
        <w:tc>
          <w:tcPr>
            <w:tcW w:w="450" w:type="dxa"/>
          </w:tcPr>
          <w:p w14:paraId="126B8A65" w14:textId="484EE591" w:rsidR="003C045B" w:rsidRPr="00EE294E" w:rsidRDefault="003C045B" w:rsidP="003C045B">
            <w:pPr>
              <w:jc w:val="center"/>
              <w:rPr>
                <w:rFonts w:ascii="Times New Roman" w:eastAsia="Calibri" w:hAnsi="Times New Roman" w:cs="Times New Roman"/>
                <w:sz w:val="20"/>
                <w:szCs w:val="20"/>
              </w:rPr>
            </w:pPr>
          </w:p>
        </w:tc>
        <w:tc>
          <w:tcPr>
            <w:tcW w:w="644" w:type="dxa"/>
          </w:tcPr>
          <w:p w14:paraId="4F71CC44" w14:textId="0AD589D5" w:rsidR="003C045B" w:rsidRPr="00EE294E" w:rsidRDefault="002A7599" w:rsidP="003C045B">
            <w:pPr>
              <w:jc w:val="center"/>
              <w:rPr>
                <w:rFonts w:ascii="Times New Roman" w:eastAsia="Calibri" w:hAnsi="Times New Roman" w:cs="Times New Roman"/>
                <w:sz w:val="20"/>
                <w:szCs w:val="20"/>
                <w:lang w:val="en-US"/>
              </w:rPr>
            </w:pPr>
            <w:r w:rsidRPr="00EE294E">
              <w:rPr>
                <w:rFonts w:ascii="Times New Roman" w:eastAsia="Calibri" w:hAnsi="Times New Roman" w:cs="Times New Roman"/>
                <w:sz w:val="20"/>
                <w:szCs w:val="20"/>
                <w:lang w:val="en-US"/>
              </w:rPr>
              <w:t>Neni 6</w:t>
            </w:r>
          </w:p>
        </w:tc>
        <w:tc>
          <w:tcPr>
            <w:tcW w:w="5040" w:type="dxa"/>
          </w:tcPr>
          <w:p w14:paraId="6E27950F" w14:textId="0F0B2A45" w:rsidR="00332AE4" w:rsidRPr="00EE294E" w:rsidRDefault="00332AE4" w:rsidP="009A70F7">
            <w:pPr>
              <w:jc w:val="both"/>
              <w:rPr>
                <w:rFonts w:ascii="Times New Roman" w:eastAsia="Times New Roman" w:hAnsi="Times New Roman" w:cs="Times New Roman"/>
                <w:sz w:val="20"/>
                <w:szCs w:val="20"/>
              </w:rPr>
            </w:pPr>
          </w:p>
          <w:p w14:paraId="0B435528" w14:textId="1945AB1F" w:rsidR="003C3D4C" w:rsidRPr="00EE294E" w:rsidRDefault="003C3D4C" w:rsidP="00EE294E">
            <w:pPr>
              <w:spacing w:before="100" w:beforeAutospacing="1" w:after="100" w:afterAutospacing="1"/>
              <w:jc w:val="both"/>
              <w:rPr>
                <w:rFonts w:ascii="Times New Roman" w:eastAsia="Times New Roman" w:hAnsi="Times New Roman" w:cs="Times New Roman"/>
                <w:sz w:val="20"/>
                <w:szCs w:val="20"/>
              </w:rPr>
            </w:pPr>
            <w:r w:rsidRPr="00EE294E">
              <w:rPr>
                <w:rFonts w:ascii="Times New Roman" w:eastAsia="Times New Roman" w:hAnsi="Times New Roman" w:cs="Times New Roman"/>
                <w:sz w:val="20"/>
                <w:szCs w:val="20"/>
              </w:rPr>
              <w:t xml:space="preserve">Drejtoria e Përgjithshme e Tatimeve është institucioni përgjegjës për përpunimin, verifikimin dhe shkëmbimin e të dhënave të raportuara nga ofruesit e shërbimeve të pagesave, duke respektuar afatet dhe procedurat teknike të përcaktuara në Rregulloren </w:t>
            </w:r>
            <w:r w:rsidR="009A70F7" w:rsidRPr="00EE294E">
              <w:rPr>
                <w:rFonts w:ascii="Times New Roman" w:eastAsia="Times New Roman" w:hAnsi="Times New Roman" w:cs="Times New Roman"/>
                <w:sz w:val="20"/>
                <w:szCs w:val="20"/>
              </w:rPr>
              <w:t>e Këshillit</w:t>
            </w:r>
            <w:r w:rsidRPr="00EE294E">
              <w:rPr>
                <w:rFonts w:ascii="Times New Roman" w:eastAsia="Times New Roman" w:hAnsi="Times New Roman" w:cs="Times New Roman"/>
                <w:sz w:val="20"/>
                <w:szCs w:val="20"/>
              </w:rPr>
              <w:t xml:space="preserve"> E</w:t>
            </w:r>
            <w:r w:rsidR="009A70F7" w:rsidRPr="00EE294E">
              <w:rPr>
                <w:rFonts w:ascii="Times New Roman" w:eastAsia="Times New Roman" w:hAnsi="Times New Roman" w:cs="Times New Roman"/>
                <w:sz w:val="20"/>
                <w:szCs w:val="20"/>
              </w:rPr>
              <w:t>v</w:t>
            </w:r>
            <w:r w:rsidRPr="00EE294E">
              <w:rPr>
                <w:rFonts w:ascii="Times New Roman" w:eastAsia="Times New Roman" w:hAnsi="Times New Roman" w:cs="Times New Roman"/>
                <w:sz w:val="20"/>
                <w:szCs w:val="20"/>
              </w:rPr>
              <w:t xml:space="preserve">ropian </w:t>
            </w:r>
            <w:r w:rsidR="009A70F7" w:rsidRPr="00EE294E">
              <w:rPr>
                <w:rFonts w:ascii="Times New Roman" w:eastAsia="Times New Roman" w:hAnsi="Times New Roman" w:cs="Times New Roman"/>
                <w:sz w:val="20"/>
                <w:szCs w:val="20"/>
              </w:rPr>
              <w:t xml:space="preserve">nr. </w:t>
            </w:r>
            <w:r w:rsidRPr="00EE294E">
              <w:rPr>
                <w:rFonts w:ascii="Times New Roman" w:eastAsia="Times New Roman" w:hAnsi="Times New Roman" w:cs="Times New Roman"/>
                <w:sz w:val="20"/>
                <w:szCs w:val="20"/>
              </w:rPr>
              <w:t xml:space="preserve">904/2010, </w:t>
            </w:r>
            <w:r w:rsidR="009A70F7" w:rsidRPr="00EE294E">
              <w:rPr>
                <w:rFonts w:ascii="Times New Roman" w:eastAsia="Times New Roman" w:hAnsi="Times New Roman" w:cs="Times New Roman"/>
                <w:sz w:val="20"/>
                <w:szCs w:val="20"/>
              </w:rPr>
              <w:t>t</w:t>
            </w:r>
            <w:r w:rsidR="00EE294E">
              <w:rPr>
                <w:rFonts w:ascii="Times New Roman" w:eastAsia="Times New Roman" w:hAnsi="Times New Roman" w:cs="Times New Roman"/>
                <w:sz w:val="20"/>
                <w:szCs w:val="20"/>
              </w:rPr>
              <w:t>ë</w:t>
            </w:r>
            <w:r w:rsidR="009A70F7" w:rsidRPr="00EE294E">
              <w:rPr>
                <w:rFonts w:ascii="Times New Roman" w:eastAsia="Times New Roman" w:hAnsi="Times New Roman" w:cs="Times New Roman"/>
                <w:sz w:val="20"/>
                <w:szCs w:val="20"/>
              </w:rPr>
              <w:t xml:space="preserve"> </w:t>
            </w:r>
            <w:r w:rsidRPr="00EE294E">
              <w:rPr>
                <w:rFonts w:ascii="Times New Roman" w:eastAsia="Times New Roman" w:hAnsi="Times New Roman" w:cs="Times New Roman"/>
                <w:sz w:val="20"/>
                <w:szCs w:val="20"/>
              </w:rPr>
              <w:t>ndryshuar</w:t>
            </w:r>
            <w:r w:rsidR="009A70F7" w:rsidRPr="00EE294E">
              <w:rPr>
                <w:rFonts w:ascii="Times New Roman" w:eastAsia="Times New Roman" w:hAnsi="Times New Roman" w:cs="Times New Roman"/>
                <w:sz w:val="20"/>
                <w:szCs w:val="20"/>
              </w:rPr>
              <w:t>.</w:t>
            </w:r>
            <w:r w:rsidRPr="00EE294E">
              <w:rPr>
                <w:rFonts w:ascii="Times New Roman" w:eastAsia="Times New Roman" w:hAnsi="Times New Roman" w:cs="Times New Roman"/>
                <w:sz w:val="20"/>
                <w:szCs w:val="20"/>
              </w:rPr>
              <w:t xml:space="preserve"> </w:t>
            </w:r>
          </w:p>
          <w:p w14:paraId="5BB63C0C" w14:textId="21626644" w:rsidR="00A832A6" w:rsidRPr="00EE294E" w:rsidRDefault="00A832A6" w:rsidP="009363ED">
            <w:pPr>
              <w:jc w:val="both"/>
              <w:rPr>
                <w:rFonts w:ascii="Times New Roman" w:eastAsia="Calibri" w:hAnsi="Times New Roman" w:cs="Times New Roman"/>
                <w:sz w:val="20"/>
                <w:szCs w:val="20"/>
              </w:rPr>
            </w:pPr>
          </w:p>
        </w:tc>
        <w:tc>
          <w:tcPr>
            <w:tcW w:w="720" w:type="dxa"/>
          </w:tcPr>
          <w:p w14:paraId="792A6F0C" w14:textId="1F6AA930" w:rsidR="003C045B" w:rsidRPr="00EE294E" w:rsidRDefault="003C045B" w:rsidP="003C045B">
            <w:pPr>
              <w:jc w:val="center"/>
              <w:rPr>
                <w:rFonts w:ascii="Times New Roman" w:eastAsia="Calibri" w:hAnsi="Times New Roman" w:cs="Times New Roman"/>
                <w:sz w:val="20"/>
                <w:szCs w:val="20"/>
                <w:lang w:val="en-US"/>
              </w:rPr>
            </w:pPr>
            <w:r w:rsidRPr="00EE294E">
              <w:rPr>
                <w:rFonts w:ascii="Times New Roman" w:eastAsia="Calibri" w:hAnsi="Times New Roman" w:cs="Times New Roman"/>
                <w:sz w:val="20"/>
                <w:szCs w:val="20"/>
                <w:lang w:val="en-US"/>
              </w:rPr>
              <w:t>F</w:t>
            </w:r>
          </w:p>
        </w:tc>
        <w:tc>
          <w:tcPr>
            <w:tcW w:w="3510" w:type="dxa"/>
          </w:tcPr>
          <w:p w14:paraId="6BF325A1" w14:textId="5C54CF33" w:rsidR="003C045B" w:rsidRPr="00EE294E" w:rsidRDefault="00652429" w:rsidP="007022FA">
            <w:pPr>
              <w:widowControl w:val="0"/>
              <w:pBdr>
                <w:top w:val="nil"/>
                <w:left w:val="nil"/>
                <w:bottom w:val="nil"/>
                <w:right w:val="nil"/>
                <w:between w:val="nil"/>
              </w:pBdr>
              <w:spacing w:before="120"/>
              <w:jc w:val="both"/>
              <w:rPr>
                <w:rFonts w:ascii="Times New Roman" w:eastAsia="Calibri" w:hAnsi="Times New Roman" w:cs="Times New Roman"/>
                <w:sz w:val="20"/>
                <w:szCs w:val="20"/>
              </w:rPr>
            </w:pPr>
            <w:r w:rsidRPr="00EE294E">
              <w:rPr>
                <w:rFonts w:ascii="Times New Roman" w:eastAsia="Times New Roman" w:hAnsi="Times New Roman" w:cs="Times New Roman"/>
                <w:iCs/>
                <w:sz w:val="20"/>
                <w:szCs w:val="20"/>
              </w:rPr>
              <w:t xml:space="preserve">Neni 6 i ligjit shqiptar përcakton autoritetin kompetent </w:t>
            </w:r>
            <w:proofErr w:type="spellStart"/>
            <w:r w:rsidRPr="00EE294E">
              <w:rPr>
                <w:rFonts w:ascii="Times New Roman" w:eastAsia="Times New Roman" w:hAnsi="Times New Roman" w:cs="Times New Roman"/>
                <w:iCs/>
                <w:sz w:val="20"/>
                <w:szCs w:val="20"/>
                <w:lang w:val="en-US"/>
              </w:rPr>
              <w:t>që</w:t>
            </w:r>
            <w:proofErr w:type="spellEnd"/>
            <w:r w:rsidRPr="00EE294E">
              <w:rPr>
                <w:rFonts w:ascii="Times New Roman" w:eastAsia="Times New Roman" w:hAnsi="Times New Roman" w:cs="Times New Roman"/>
                <w:iCs/>
                <w:sz w:val="20"/>
                <w:szCs w:val="20"/>
                <w:lang w:val="en-US"/>
              </w:rPr>
              <w:t xml:space="preserve"> </w:t>
            </w:r>
            <w:proofErr w:type="spellStart"/>
            <w:r w:rsidRPr="00EE294E">
              <w:rPr>
                <w:rFonts w:ascii="Times New Roman" w:eastAsia="Times New Roman" w:hAnsi="Times New Roman" w:cs="Times New Roman"/>
                <w:iCs/>
                <w:sz w:val="20"/>
                <w:szCs w:val="20"/>
                <w:lang w:val="en-US"/>
              </w:rPr>
              <w:t>është</w:t>
            </w:r>
            <w:proofErr w:type="spellEnd"/>
            <w:r w:rsidRPr="00EE294E">
              <w:rPr>
                <w:rFonts w:ascii="Times New Roman" w:eastAsia="Times New Roman" w:hAnsi="Times New Roman" w:cs="Times New Roman"/>
                <w:iCs/>
                <w:sz w:val="20"/>
                <w:szCs w:val="20"/>
                <w:lang w:val="en-US"/>
              </w:rPr>
              <w:t xml:space="preserve"> </w:t>
            </w:r>
            <w:r w:rsidRPr="00EE294E">
              <w:rPr>
                <w:rFonts w:ascii="Times New Roman" w:eastAsia="Times New Roman" w:hAnsi="Times New Roman" w:cs="Times New Roman"/>
                <w:iCs/>
                <w:sz w:val="20"/>
                <w:szCs w:val="20"/>
              </w:rPr>
              <w:t xml:space="preserve">Drejtori i </w:t>
            </w:r>
            <w:proofErr w:type="spellStart"/>
            <w:r w:rsidRPr="00EE294E">
              <w:rPr>
                <w:rFonts w:ascii="Times New Roman" w:eastAsia="Times New Roman" w:hAnsi="Times New Roman" w:cs="Times New Roman"/>
                <w:iCs/>
                <w:sz w:val="20"/>
                <w:szCs w:val="20"/>
                <w:lang w:val="en-US"/>
              </w:rPr>
              <w:t>Përgjithshëm</w:t>
            </w:r>
            <w:proofErr w:type="spellEnd"/>
            <w:r w:rsidRPr="00EE294E">
              <w:rPr>
                <w:rFonts w:ascii="Times New Roman" w:eastAsia="Times New Roman" w:hAnsi="Times New Roman" w:cs="Times New Roman"/>
                <w:iCs/>
                <w:sz w:val="20"/>
                <w:szCs w:val="20"/>
                <w:lang w:val="en-US"/>
              </w:rPr>
              <w:t xml:space="preserve"> </w:t>
            </w:r>
            <w:proofErr w:type="spellStart"/>
            <w:r w:rsidRPr="00EE294E">
              <w:rPr>
                <w:rFonts w:ascii="Times New Roman" w:eastAsia="Times New Roman" w:hAnsi="Times New Roman" w:cs="Times New Roman"/>
                <w:iCs/>
                <w:sz w:val="20"/>
                <w:szCs w:val="20"/>
                <w:lang w:val="en-US"/>
              </w:rPr>
              <w:t>i</w:t>
            </w:r>
            <w:proofErr w:type="spellEnd"/>
            <w:r w:rsidRPr="00EE294E">
              <w:rPr>
                <w:rFonts w:ascii="Times New Roman" w:eastAsia="Times New Roman" w:hAnsi="Times New Roman" w:cs="Times New Roman"/>
                <w:iCs/>
                <w:sz w:val="20"/>
                <w:szCs w:val="20"/>
                <w:lang w:val="en-US"/>
              </w:rPr>
              <w:t xml:space="preserve"> </w:t>
            </w:r>
            <w:r w:rsidRPr="00EE294E">
              <w:rPr>
                <w:rFonts w:ascii="Times New Roman" w:eastAsia="Times New Roman" w:hAnsi="Times New Roman" w:cs="Times New Roman"/>
                <w:iCs/>
                <w:sz w:val="20"/>
                <w:szCs w:val="20"/>
              </w:rPr>
              <w:t xml:space="preserve">Tatimeve </w:t>
            </w:r>
            <w:r w:rsidR="003927C4" w:rsidRPr="00EE294E">
              <w:rPr>
                <w:rFonts w:ascii="Times New Roman" w:eastAsia="Times New Roman" w:hAnsi="Times New Roman" w:cs="Times New Roman"/>
                <w:iCs/>
                <w:sz w:val="20"/>
                <w:szCs w:val="20"/>
                <w:lang w:val="en-US"/>
              </w:rPr>
              <w:t>.</w:t>
            </w:r>
            <w:r w:rsidRPr="00EE294E">
              <w:rPr>
                <w:rFonts w:ascii="Times New Roman" w:eastAsia="Times New Roman" w:hAnsi="Times New Roman" w:cs="Times New Roman"/>
                <w:iCs/>
                <w:sz w:val="20"/>
                <w:szCs w:val="20"/>
              </w:rPr>
              <w:t xml:space="preserve"> </w:t>
            </w:r>
            <w:proofErr w:type="spellStart"/>
            <w:r w:rsidR="003927C4" w:rsidRPr="00EE294E">
              <w:rPr>
                <w:rFonts w:ascii="Times New Roman" w:eastAsia="Times New Roman" w:hAnsi="Times New Roman" w:cs="Times New Roman"/>
                <w:iCs/>
                <w:sz w:val="20"/>
                <w:szCs w:val="20"/>
                <w:lang w:val="en-US"/>
              </w:rPr>
              <w:t>për</w:t>
            </w:r>
            <w:proofErr w:type="spellEnd"/>
            <w:r w:rsidR="003927C4" w:rsidRPr="00EE294E">
              <w:rPr>
                <w:rFonts w:ascii="Times New Roman" w:eastAsia="Times New Roman" w:hAnsi="Times New Roman" w:cs="Times New Roman"/>
                <w:iCs/>
                <w:sz w:val="20"/>
                <w:szCs w:val="20"/>
                <w:lang w:val="en-US"/>
              </w:rPr>
              <w:t xml:space="preserve"> </w:t>
            </w:r>
            <w:r w:rsidRPr="00EE294E">
              <w:rPr>
                <w:rFonts w:ascii="Times New Roman" w:eastAsia="Times New Roman" w:hAnsi="Times New Roman" w:cs="Times New Roman"/>
                <w:iCs/>
                <w:sz w:val="20"/>
                <w:szCs w:val="20"/>
              </w:rPr>
              <w:t>përpunimin, verifikimin dhe shkëmbimin e të dhënave të raportuara nga ofruesit e shërbimit të pagesave</w:t>
            </w:r>
            <w:r w:rsidRPr="00EE294E" w:rsidDel="00652429">
              <w:rPr>
                <w:rFonts w:ascii="Times New Roman" w:eastAsia="Times New Roman" w:hAnsi="Times New Roman" w:cs="Times New Roman"/>
                <w:iCs/>
                <w:sz w:val="20"/>
                <w:szCs w:val="20"/>
              </w:rPr>
              <w:t xml:space="preserve"> </w:t>
            </w:r>
            <w:r w:rsidRPr="00EE294E">
              <w:rPr>
                <w:rFonts w:ascii="Times New Roman" w:eastAsia="Times New Roman" w:hAnsi="Times New Roman" w:cs="Times New Roman"/>
                <w:iCs/>
                <w:sz w:val="20"/>
                <w:szCs w:val="20"/>
              </w:rPr>
              <w:t xml:space="preserve">dhe përpunimin, verifikimin dhe shkëmbimin e të dhënave të raportuara nga ofruesit e shërbimeve të pagesave. </w:t>
            </w:r>
          </w:p>
        </w:tc>
      </w:tr>
      <w:tr w:rsidR="003C045B" w:rsidRPr="00EE294E" w14:paraId="795D9D6B" w14:textId="77777777" w:rsidTr="00990A3C">
        <w:tc>
          <w:tcPr>
            <w:tcW w:w="540" w:type="dxa"/>
            <w:shd w:val="clear" w:color="auto" w:fill="D0CECE" w:themeFill="background2" w:themeFillShade="E6"/>
          </w:tcPr>
          <w:p w14:paraId="56BD2627" w14:textId="0304CB92" w:rsidR="003C045B" w:rsidRPr="00EE294E" w:rsidRDefault="003C045B" w:rsidP="003C045B">
            <w:pPr>
              <w:jc w:val="both"/>
              <w:rPr>
                <w:rFonts w:ascii="Times New Roman" w:eastAsia="Calibri" w:hAnsi="Times New Roman" w:cs="Times New Roman"/>
                <w:sz w:val="20"/>
                <w:szCs w:val="20"/>
              </w:rPr>
            </w:pPr>
          </w:p>
        </w:tc>
        <w:tc>
          <w:tcPr>
            <w:tcW w:w="5400" w:type="dxa"/>
            <w:shd w:val="clear" w:color="auto" w:fill="D0CECE" w:themeFill="background2" w:themeFillShade="E6"/>
          </w:tcPr>
          <w:p w14:paraId="316D99B5" w14:textId="09760256" w:rsidR="003C045B" w:rsidRPr="00EE294E" w:rsidRDefault="00147BF2" w:rsidP="003C045B">
            <w:pPr>
              <w:jc w:val="both"/>
              <w:rPr>
                <w:rFonts w:ascii="Times New Roman" w:eastAsia="Calibri" w:hAnsi="Times New Roman" w:cs="Times New Roman"/>
                <w:i/>
                <w:iCs/>
                <w:sz w:val="20"/>
                <w:szCs w:val="20"/>
              </w:rPr>
            </w:pPr>
            <w:r w:rsidRPr="00EE294E">
              <w:rPr>
                <w:rFonts w:ascii="Times New Roman" w:eastAsia="Calibri" w:hAnsi="Times New Roman" w:cs="Times New Roman"/>
                <w:i/>
                <w:iCs/>
                <w:sz w:val="20"/>
                <w:szCs w:val="20"/>
              </w:rPr>
              <w:t>Preambula</w:t>
            </w:r>
          </w:p>
        </w:tc>
        <w:tc>
          <w:tcPr>
            <w:tcW w:w="450" w:type="dxa"/>
            <w:shd w:val="clear" w:color="auto" w:fill="D0CECE" w:themeFill="background2" w:themeFillShade="E6"/>
          </w:tcPr>
          <w:p w14:paraId="68A57B73" w14:textId="19F64D70" w:rsidR="003C045B" w:rsidRPr="00EE294E" w:rsidRDefault="003C045B" w:rsidP="003C045B">
            <w:pPr>
              <w:jc w:val="center"/>
              <w:rPr>
                <w:rFonts w:ascii="Times New Roman" w:eastAsia="Calibri" w:hAnsi="Times New Roman" w:cs="Times New Roman"/>
                <w:i/>
                <w:iCs/>
                <w:sz w:val="20"/>
                <w:szCs w:val="20"/>
              </w:rPr>
            </w:pPr>
          </w:p>
        </w:tc>
        <w:tc>
          <w:tcPr>
            <w:tcW w:w="644" w:type="dxa"/>
            <w:shd w:val="clear" w:color="auto" w:fill="D0CECE" w:themeFill="background2" w:themeFillShade="E6"/>
          </w:tcPr>
          <w:p w14:paraId="482568F1" w14:textId="58ED12C7" w:rsidR="003C045B" w:rsidRPr="00EE294E" w:rsidRDefault="003C045B" w:rsidP="003C045B">
            <w:pPr>
              <w:jc w:val="center"/>
              <w:rPr>
                <w:rFonts w:ascii="Times New Roman" w:eastAsia="Calibri" w:hAnsi="Times New Roman" w:cs="Times New Roman"/>
                <w:i/>
                <w:iCs/>
                <w:sz w:val="20"/>
                <w:szCs w:val="20"/>
              </w:rPr>
            </w:pPr>
          </w:p>
        </w:tc>
        <w:tc>
          <w:tcPr>
            <w:tcW w:w="5040" w:type="dxa"/>
            <w:shd w:val="clear" w:color="auto" w:fill="D0CECE" w:themeFill="background2" w:themeFillShade="E6"/>
          </w:tcPr>
          <w:p w14:paraId="5A24E114" w14:textId="77777777" w:rsidR="003C3D4C" w:rsidRPr="00EE294E" w:rsidRDefault="003C3D4C" w:rsidP="003C3D4C">
            <w:pPr>
              <w:jc w:val="center"/>
              <w:rPr>
                <w:rFonts w:ascii="Times New Roman" w:eastAsia="Calibri" w:hAnsi="Times New Roman" w:cs="Times New Roman"/>
                <w:b/>
                <w:bCs/>
                <w:sz w:val="20"/>
                <w:szCs w:val="20"/>
                <w:lang w:val="en-US"/>
              </w:rPr>
            </w:pPr>
            <w:r w:rsidRPr="00EE294E">
              <w:rPr>
                <w:rFonts w:ascii="Times New Roman" w:eastAsia="Calibri" w:hAnsi="Times New Roman" w:cs="Times New Roman"/>
                <w:b/>
                <w:bCs/>
                <w:sz w:val="20"/>
                <w:szCs w:val="20"/>
                <w:lang w:val="en-US"/>
              </w:rPr>
              <w:t>Neni 7</w:t>
            </w:r>
          </w:p>
          <w:p w14:paraId="5E37C130" w14:textId="53DBA697" w:rsidR="003C045B" w:rsidRPr="00EE294E" w:rsidRDefault="003C3D4C" w:rsidP="003C3D4C">
            <w:pPr>
              <w:jc w:val="center"/>
              <w:rPr>
                <w:rFonts w:ascii="Times New Roman" w:eastAsia="Calibri" w:hAnsi="Times New Roman" w:cs="Times New Roman"/>
                <w:i/>
                <w:iCs/>
                <w:sz w:val="20"/>
                <w:szCs w:val="20"/>
                <w:lang w:val="en-US"/>
              </w:rPr>
            </w:pPr>
            <w:proofErr w:type="spellStart"/>
            <w:r w:rsidRPr="00EE294E">
              <w:rPr>
                <w:rFonts w:ascii="Times New Roman" w:eastAsia="Calibri" w:hAnsi="Times New Roman" w:cs="Times New Roman"/>
                <w:b/>
                <w:bCs/>
                <w:sz w:val="20"/>
                <w:szCs w:val="20"/>
                <w:lang w:val="en-US"/>
              </w:rPr>
              <w:t>Përjashtimet</w:t>
            </w:r>
            <w:proofErr w:type="spellEnd"/>
            <w:r w:rsidRPr="00EE294E">
              <w:rPr>
                <w:rFonts w:ascii="Times New Roman" w:eastAsia="Calibri" w:hAnsi="Times New Roman" w:cs="Times New Roman"/>
                <w:b/>
                <w:bCs/>
                <w:sz w:val="20"/>
                <w:szCs w:val="20"/>
                <w:lang w:val="en-US"/>
              </w:rPr>
              <w:t xml:space="preserve"> </w:t>
            </w:r>
            <w:proofErr w:type="spellStart"/>
            <w:r w:rsidRPr="00EE294E">
              <w:rPr>
                <w:rFonts w:ascii="Times New Roman" w:eastAsia="Calibri" w:hAnsi="Times New Roman" w:cs="Times New Roman"/>
                <w:b/>
                <w:bCs/>
                <w:sz w:val="20"/>
                <w:szCs w:val="20"/>
                <w:lang w:val="en-US"/>
              </w:rPr>
              <w:t>nga</w:t>
            </w:r>
            <w:proofErr w:type="spellEnd"/>
            <w:r w:rsidRPr="00EE294E">
              <w:rPr>
                <w:rFonts w:ascii="Times New Roman" w:eastAsia="Calibri" w:hAnsi="Times New Roman" w:cs="Times New Roman"/>
                <w:b/>
                <w:bCs/>
                <w:sz w:val="20"/>
                <w:szCs w:val="20"/>
                <w:lang w:val="en-US"/>
              </w:rPr>
              <w:t xml:space="preserve"> </w:t>
            </w:r>
            <w:proofErr w:type="spellStart"/>
            <w:r w:rsidRPr="00EE294E">
              <w:rPr>
                <w:rFonts w:ascii="Times New Roman" w:eastAsia="Calibri" w:hAnsi="Times New Roman" w:cs="Times New Roman"/>
                <w:b/>
                <w:bCs/>
                <w:sz w:val="20"/>
                <w:szCs w:val="20"/>
                <w:lang w:val="en-US"/>
              </w:rPr>
              <w:t>raportimi</w:t>
            </w:r>
            <w:proofErr w:type="spellEnd"/>
          </w:p>
        </w:tc>
        <w:tc>
          <w:tcPr>
            <w:tcW w:w="720" w:type="dxa"/>
            <w:shd w:val="clear" w:color="auto" w:fill="D0CECE" w:themeFill="background2" w:themeFillShade="E6"/>
          </w:tcPr>
          <w:p w14:paraId="1BFB2DE6" w14:textId="7E8BCE79" w:rsidR="003C045B" w:rsidRPr="00EE294E" w:rsidRDefault="003C045B" w:rsidP="003C045B">
            <w:pPr>
              <w:jc w:val="center"/>
              <w:rPr>
                <w:rFonts w:ascii="Times New Roman" w:eastAsia="Calibri" w:hAnsi="Times New Roman" w:cs="Times New Roman"/>
                <w:i/>
                <w:iCs/>
                <w:sz w:val="20"/>
                <w:szCs w:val="20"/>
                <w:lang w:val="en-US"/>
              </w:rPr>
            </w:pPr>
          </w:p>
        </w:tc>
        <w:tc>
          <w:tcPr>
            <w:tcW w:w="3510" w:type="dxa"/>
            <w:shd w:val="clear" w:color="auto" w:fill="D0CECE" w:themeFill="background2" w:themeFillShade="E6"/>
          </w:tcPr>
          <w:p w14:paraId="0E1C93C5" w14:textId="77777777" w:rsidR="003C045B" w:rsidRPr="00EE294E" w:rsidRDefault="003C045B" w:rsidP="003C045B">
            <w:pPr>
              <w:rPr>
                <w:rFonts w:ascii="Times New Roman" w:eastAsia="Calibri" w:hAnsi="Times New Roman" w:cs="Times New Roman"/>
                <w:sz w:val="20"/>
                <w:szCs w:val="20"/>
                <w:lang w:val="en-US"/>
              </w:rPr>
            </w:pPr>
          </w:p>
        </w:tc>
      </w:tr>
      <w:tr w:rsidR="003C045B" w:rsidRPr="00EE294E" w14:paraId="602A0892" w14:textId="77777777" w:rsidTr="007022FA">
        <w:trPr>
          <w:trHeight w:val="3761"/>
        </w:trPr>
        <w:tc>
          <w:tcPr>
            <w:tcW w:w="540" w:type="dxa"/>
          </w:tcPr>
          <w:p w14:paraId="176CFC32" w14:textId="7CC0D92E" w:rsidR="003C045B" w:rsidRPr="00EE294E" w:rsidRDefault="003C045B" w:rsidP="003C045B">
            <w:pPr>
              <w:jc w:val="both"/>
              <w:rPr>
                <w:rFonts w:ascii="Times New Roman" w:eastAsia="Calibri" w:hAnsi="Times New Roman" w:cs="Times New Roman"/>
                <w:sz w:val="20"/>
                <w:szCs w:val="20"/>
                <w:lang w:val="en-US"/>
              </w:rPr>
            </w:pPr>
          </w:p>
        </w:tc>
        <w:tc>
          <w:tcPr>
            <w:tcW w:w="5400" w:type="dxa"/>
          </w:tcPr>
          <w:p w14:paraId="4B13DA69" w14:textId="21A6A2F3" w:rsidR="003C045B" w:rsidRPr="00EE294E" w:rsidRDefault="00147BF2" w:rsidP="002D7B34">
            <w:pPr>
              <w:rPr>
                <w:rFonts w:ascii="Times New Roman" w:eastAsia="Times New Roman" w:hAnsi="Times New Roman" w:cs="Times New Roman"/>
                <w:sz w:val="20"/>
                <w:szCs w:val="20"/>
              </w:rPr>
            </w:pPr>
            <w:r w:rsidRPr="00EE294E">
              <w:rPr>
                <w:rFonts w:ascii="Times New Roman" w:hAnsi="Times New Roman" w:cs="Times New Roman"/>
                <w:color w:val="333333"/>
                <w:sz w:val="20"/>
                <w:szCs w:val="20"/>
                <w:shd w:val="clear" w:color="auto" w:fill="FFFFFF"/>
              </w:rPr>
              <w:t xml:space="preserve">6. Në përputhje me Rregulloren (BE) 2016/679 të Parlamentit Evropian dhe të Këshillit </w:t>
            </w:r>
            <w:r w:rsidRPr="00EE294E">
              <w:fldChar w:fldCharType="begin"/>
            </w:r>
            <w:r w:rsidRPr="00EE294E">
              <w:rPr>
                <w:rFonts w:ascii="Times New Roman" w:hAnsi="Times New Roman" w:cs="Times New Roman"/>
                <w:sz w:val="20"/>
                <w:szCs w:val="20"/>
              </w:rPr>
              <w:instrText>HYPERLINK "https://eur-lex.europa.eu/legal-content/EN/TXT/?uri=CELEX:32020L0284" \l "ntr5-L_2020062EN.01000701-E0005"</w:instrText>
            </w:r>
            <w:r w:rsidRPr="00EE294E">
              <w:fldChar w:fldCharType="separate"/>
            </w:r>
            <w:r w:rsidRPr="00EE294E">
              <w:rPr>
                <w:rStyle w:val="Hyperlink"/>
                <w:rFonts w:ascii="Times New Roman" w:hAnsi="Times New Roman" w:cs="Times New Roman"/>
                <w:color w:val="0E47CB"/>
                <w:sz w:val="20"/>
                <w:szCs w:val="20"/>
                <w:u w:val="none"/>
                <w:shd w:val="clear" w:color="auto" w:fill="FFFFFF"/>
              </w:rPr>
              <w:t xml:space="preserve">( </w:t>
            </w:r>
            <w:r w:rsidRPr="00EE294E">
              <w:rPr>
                <w:rStyle w:val="Hyperlink"/>
                <w:rFonts w:ascii="Times New Roman" w:hAnsi="Times New Roman" w:cs="Times New Roman"/>
                <w:color w:val="0E47CB"/>
                <w:sz w:val="20"/>
                <w:szCs w:val="20"/>
                <w:u w:val="none"/>
                <w:shd w:val="clear" w:color="auto" w:fill="FFFFFF"/>
              </w:rPr>
              <w:fldChar w:fldCharType="end"/>
            </w:r>
            <w:hyperlink r:id="rId12" w:anchor="ntr5-L_2020062EN.01000701-E0005" w:history="1">
              <w:r w:rsidRPr="00EE294E">
                <w:rPr>
                  <w:rStyle w:val="oj-super"/>
                  <w:rFonts w:ascii="Times New Roman" w:hAnsi="Times New Roman" w:cs="Times New Roman"/>
                  <w:color w:val="0E47CB"/>
                  <w:sz w:val="20"/>
                  <w:szCs w:val="20"/>
                  <w:shd w:val="clear" w:color="auto" w:fill="FFFFFF"/>
                  <w:vertAlign w:val="superscript"/>
                </w:rPr>
                <w:t xml:space="preserve">5 </w:t>
              </w:r>
            </w:hyperlink>
            <w:hyperlink r:id="rId13" w:anchor="ntr5-L_2020062EN.01000701-E0005" w:history="1">
              <w:r w:rsidRPr="00EE294E">
                <w:rPr>
                  <w:rStyle w:val="Hyperlink"/>
                  <w:rFonts w:ascii="Times New Roman" w:hAnsi="Times New Roman" w:cs="Times New Roman"/>
                  <w:color w:val="0E47CB"/>
                  <w:sz w:val="20"/>
                  <w:szCs w:val="20"/>
                  <w:u w:val="none"/>
                  <w:shd w:val="clear" w:color="auto" w:fill="FFFFFF"/>
                </w:rPr>
                <w:t xml:space="preserve">) </w:t>
              </w:r>
            </w:hyperlink>
            <w:r w:rsidRPr="00EE294E">
              <w:rPr>
                <w:rFonts w:ascii="Times New Roman" w:hAnsi="Times New Roman" w:cs="Times New Roman"/>
                <w:color w:val="333333"/>
                <w:sz w:val="20"/>
                <w:szCs w:val="20"/>
                <w:shd w:val="clear" w:color="auto" w:fill="FFFFFF"/>
              </w:rPr>
              <w:t>, është e rëndësishme që detyrimi i një ofruesi të shërbimit të pagesave për të ruajtur dhe ofruar informacion në lidhje me një pagesë ndërkufitare të jetë proporcional dhe i kufizuar në atë që është e nevojshme për Shtetet Anëtare për të luftuar mashtrimin me TVSH-në. Për më tepër, i vetmi informacion në lidhje me paguesin që duhet të ruhet është vendndodhja e paguesit. Lidhur me informacionin në lidhje me përfituesin dhe vetë pagesën, ofruesit e shërbimit të pagesave duhet të detyrohen të ruajnë dhe të raportojnë tek autoritetet tatimore vetëm informacionin që është i nevojshëm për këto autoritete për të zbuluar mashtrues të mundshëm dhe për të kryer kontrolle tatimore. Prandaj, ofruesit e shërbimit të pagesave duhet të detyrohen të mbajnë të dhëna vetëm për ato pagesa ndërkufitare që ka të ngjarë të tregojnë aktivitete ekonomike. Futja e një kufiri të bazuar në numrin e pagesave të marra nga një përfitues gjatë një tremujori kalendarik do të jepte një tregues nëse këto pagesa janë marrë si pjesë e një aktiviteti ekonomik, duke përjashtuar kështu pagesat për arsye jo-komerciale. Kur arrihet një kufi i tillë, do të aktivizohen detyrimet e mbajtjes së të dhënave dhe raportimit të ofruesit të shërbimit të pagesave.</w:t>
            </w:r>
          </w:p>
        </w:tc>
        <w:tc>
          <w:tcPr>
            <w:tcW w:w="450" w:type="dxa"/>
          </w:tcPr>
          <w:p w14:paraId="08D27D38" w14:textId="022BD9E7" w:rsidR="003C045B" w:rsidRPr="00EE294E" w:rsidRDefault="003C045B" w:rsidP="003C045B">
            <w:pPr>
              <w:jc w:val="center"/>
              <w:rPr>
                <w:rFonts w:ascii="Times New Roman" w:eastAsia="Calibri" w:hAnsi="Times New Roman" w:cs="Times New Roman"/>
                <w:sz w:val="20"/>
                <w:szCs w:val="20"/>
              </w:rPr>
            </w:pPr>
          </w:p>
        </w:tc>
        <w:tc>
          <w:tcPr>
            <w:tcW w:w="644" w:type="dxa"/>
          </w:tcPr>
          <w:p w14:paraId="76515CA7" w14:textId="6FB20DBD" w:rsidR="003C045B" w:rsidRPr="00EE294E" w:rsidRDefault="002A7599" w:rsidP="003C045B">
            <w:pPr>
              <w:jc w:val="center"/>
              <w:rPr>
                <w:rFonts w:ascii="Times New Roman" w:eastAsia="Calibri" w:hAnsi="Times New Roman" w:cs="Times New Roman"/>
                <w:sz w:val="20"/>
                <w:szCs w:val="20"/>
                <w:lang w:val="en-US"/>
              </w:rPr>
            </w:pPr>
            <w:r w:rsidRPr="00EE294E">
              <w:rPr>
                <w:rFonts w:ascii="Times New Roman" w:eastAsia="Calibri" w:hAnsi="Times New Roman" w:cs="Times New Roman"/>
                <w:sz w:val="20"/>
                <w:szCs w:val="20"/>
                <w:lang w:val="en-US"/>
              </w:rPr>
              <w:t>Neni 7</w:t>
            </w:r>
          </w:p>
        </w:tc>
        <w:tc>
          <w:tcPr>
            <w:tcW w:w="5040" w:type="dxa"/>
            <w:tcBorders>
              <w:bottom w:val="dashed" w:sz="4" w:space="0" w:color="auto"/>
            </w:tcBorders>
          </w:tcPr>
          <w:p w14:paraId="210638FA" w14:textId="0C16C304" w:rsidR="003C3D4C" w:rsidRPr="00EE294E" w:rsidRDefault="003C3D4C" w:rsidP="003C3D4C">
            <w:pPr>
              <w:jc w:val="both"/>
              <w:rPr>
                <w:rFonts w:ascii="Times New Roman" w:eastAsia="Calibri" w:hAnsi="Times New Roman" w:cs="Times New Roman"/>
                <w:sz w:val="20"/>
                <w:szCs w:val="20"/>
              </w:rPr>
            </w:pPr>
          </w:p>
          <w:p w14:paraId="4A540658" w14:textId="04209E76" w:rsidR="003C3D4C" w:rsidRPr="00EE294E" w:rsidRDefault="009A70F7" w:rsidP="003C3D4C">
            <w:pPr>
              <w:jc w:val="both"/>
              <w:rPr>
                <w:rFonts w:ascii="Times New Roman" w:eastAsia="Calibri" w:hAnsi="Times New Roman" w:cs="Times New Roman"/>
                <w:sz w:val="20"/>
                <w:szCs w:val="20"/>
              </w:rPr>
            </w:pPr>
            <w:r w:rsidRPr="00EE294E">
              <w:rPr>
                <w:rFonts w:ascii="Times New Roman" w:eastAsia="Calibri" w:hAnsi="Times New Roman" w:cs="Times New Roman"/>
                <w:sz w:val="20"/>
                <w:szCs w:val="20"/>
              </w:rPr>
              <w:t>Ofruesi i shërbimeve të pagesave përjashtohet nga detyrimi për raportim kur:</w:t>
            </w:r>
          </w:p>
          <w:p w14:paraId="14842959" w14:textId="77777777" w:rsidR="003C3D4C" w:rsidRPr="00EE294E" w:rsidRDefault="003C3D4C" w:rsidP="003C3D4C">
            <w:pPr>
              <w:jc w:val="both"/>
              <w:rPr>
                <w:rFonts w:ascii="Times New Roman" w:eastAsia="Calibri" w:hAnsi="Times New Roman" w:cs="Times New Roman"/>
                <w:sz w:val="20"/>
                <w:szCs w:val="20"/>
              </w:rPr>
            </w:pPr>
          </w:p>
          <w:p w14:paraId="2D330AD5" w14:textId="04872F30" w:rsidR="003C3D4C" w:rsidRPr="00EE294E" w:rsidRDefault="003C3D4C">
            <w:pPr>
              <w:pStyle w:val="ListParagraph"/>
              <w:numPr>
                <w:ilvl w:val="0"/>
                <w:numId w:val="5"/>
              </w:numPr>
              <w:spacing w:after="0" w:line="240" w:lineRule="auto"/>
              <w:jc w:val="both"/>
              <w:rPr>
                <w:rFonts w:ascii="Times New Roman" w:eastAsia="Calibri" w:hAnsi="Times New Roman" w:cs="Times New Roman"/>
                <w:sz w:val="20"/>
                <w:szCs w:val="20"/>
              </w:rPr>
            </w:pPr>
            <w:r w:rsidRPr="00EE294E">
              <w:rPr>
                <w:rFonts w:ascii="Times New Roman" w:eastAsia="Calibri" w:hAnsi="Times New Roman" w:cs="Times New Roman"/>
                <w:sz w:val="20"/>
                <w:szCs w:val="20"/>
              </w:rPr>
              <w:t>paguesi dhe përfituesi i pagesës janë brenda territorit të Republikës së Republikës së Shqipërisë;</w:t>
            </w:r>
          </w:p>
          <w:p w14:paraId="1A335C81" w14:textId="618DB5FC" w:rsidR="003C3D4C" w:rsidRPr="00EE294E" w:rsidRDefault="009A70F7">
            <w:pPr>
              <w:pStyle w:val="ListParagraph"/>
              <w:numPr>
                <w:ilvl w:val="0"/>
                <w:numId w:val="5"/>
              </w:numPr>
              <w:spacing w:after="0" w:line="240" w:lineRule="auto"/>
              <w:jc w:val="both"/>
              <w:rPr>
                <w:rFonts w:ascii="Times New Roman" w:eastAsia="Calibri" w:hAnsi="Times New Roman" w:cs="Times New Roman"/>
                <w:sz w:val="20"/>
                <w:szCs w:val="20"/>
              </w:rPr>
            </w:pPr>
            <w:r w:rsidRPr="00EE294E">
              <w:rPr>
                <w:rFonts w:ascii="Times New Roman" w:eastAsia="Calibri" w:hAnsi="Times New Roman" w:cs="Times New Roman"/>
                <w:sz w:val="20"/>
                <w:szCs w:val="20"/>
              </w:rPr>
              <w:t>n</w:t>
            </w:r>
            <w:r w:rsidR="003C3D4C" w:rsidRPr="00EE294E">
              <w:rPr>
                <w:rFonts w:ascii="Times New Roman" w:eastAsia="Calibri" w:hAnsi="Times New Roman" w:cs="Times New Roman"/>
                <w:sz w:val="20"/>
                <w:szCs w:val="20"/>
              </w:rPr>
              <w:t xml:space="preserve">umri i pagesave për të njëjtin përfitues të pagesës nuk arrin </w:t>
            </w:r>
            <w:r w:rsidRPr="00EE294E">
              <w:rPr>
                <w:rFonts w:ascii="Times New Roman" w:eastAsia="Calibri" w:hAnsi="Times New Roman" w:cs="Times New Roman"/>
                <w:sz w:val="20"/>
                <w:szCs w:val="20"/>
              </w:rPr>
              <w:t xml:space="preserve">kufirin </w:t>
            </w:r>
            <w:r w:rsidR="003C3D4C" w:rsidRPr="00EE294E">
              <w:rPr>
                <w:rFonts w:ascii="Times New Roman" w:eastAsia="Calibri" w:hAnsi="Times New Roman" w:cs="Times New Roman"/>
                <w:sz w:val="20"/>
                <w:szCs w:val="20"/>
              </w:rPr>
              <w:t xml:space="preserve">e përcaktuar në nenin 9, pika 2 </w:t>
            </w:r>
            <w:r w:rsidRPr="00EE294E">
              <w:rPr>
                <w:rFonts w:ascii="Times New Roman" w:eastAsia="Calibri" w:hAnsi="Times New Roman" w:cs="Times New Roman"/>
                <w:sz w:val="20"/>
                <w:szCs w:val="20"/>
              </w:rPr>
              <w:t xml:space="preserve">e </w:t>
            </w:r>
            <w:r w:rsidR="003C3D4C" w:rsidRPr="00EE294E">
              <w:rPr>
                <w:rFonts w:ascii="Times New Roman" w:eastAsia="Calibri" w:hAnsi="Times New Roman" w:cs="Times New Roman"/>
                <w:sz w:val="20"/>
                <w:szCs w:val="20"/>
              </w:rPr>
              <w:t>këtij ligji</w:t>
            </w:r>
            <w:r w:rsidR="00EE294E">
              <w:rPr>
                <w:rFonts w:ascii="Times New Roman" w:eastAsia="Calibri" w:hAnsi="Times New Roman" w:cs="Times New Roman"/>
                <w:sz w:val="20"/>
                <w:szCs w:val="20"/>
              </w:rPr>
              <w:t>.</w:t>
            </w:r>
          </w:p>
          <w:p w14:paraId="2A5C5DAB" w14:textId="148B722C" w:rsidR="00952ABD" w:rsidRPr="00EE294E" w:rsidRDefault="00952ABD" w:rsidP="003C3D4C">
            <w:pPr>
              <w:jc w:val="both"/>
              <w:rPr>
                <w:rFonts w:ascii="Times New Roman" w:eastAsia="Calibri" w:hAnsi="Times New Roman" w:cs="Times New Roman"/>
                <w:sz w:val="20"/>
                <w:szCs w:val="20"/>
              </w:rPr>
            </w:pPr>
          </w:p>
        </w:tc>
        <w:tc>
          <w:tcPr>
            <w:tcW w:w="720" w:type="dxa"/>
            <w:tcBorders>
              <w:bottom w:val="dashed" w:sz="4" w:space="0" w:color="auto"/>
            </w:tcBorders>
          </w:tcPr>
          <w:p w14:paraId="34822B49" w14:textId="5A866A1C" w:rsidR="003C045B" w:rsidRPr="00EE294E" w:rsidRDefault="00147BF2" w:rsidP="003C045B">
            <w:pPr>
              <w:jc w:val="center"/>
              <w:rPr>
                <w:rFonts w:ascii="Times New Roman" w:eastAsia="Calibri" w:hAnsi="Times New Roman" w:cs="Times New Roman"/>
                <w:sz w:val="20"/>
                <w:szCs w:val="20"/>
              </w:rPr>
            </w:pPr>
            <w:r w:rsidRPr="00EE294E">
              <w:rPr>
                <w:rFonts w:ascii="Times New Roman" w:eastAsia="Calibri" w:hAnsi="Times New Roman" w:cs="Times New Roman"/>
                <w:sz w:val="20"/>
                <w:szCs w:val="20"/>
              </w:rPr>
              <w:t>F</w:t>
            </w:r>
          </w:p>
        </w:tc>
        <w:tc>
          <w:tcPr>
            <w:tcW w:w="3510" w:type="dxa"/>
            <w:tcBorders>
              <w:bottom w:val="dashed" w:sz="4" w:space="0" w:color="auto"/>
            </w:tcBorders>
          </w:tcPr>
          <w:p w14:paraId="0BD0D33E" w14:textId="77777777" w:rsidR="0009621F" w:rsidRPr="00EE294E" w:rsidRDefault="00147BF2" w:rsidP="00EE294E">
            <w:pPr>
              <w:jc w:val="both"/>
              <w:rPr>
                <w:rFonts w:ascii="Times New Roman" w:eastAsia="Times New Roman" w:hAnsi="Times New Roman" w:cs="Times New Roman"/>
                <w:sz w:val="20"/>
                <w:szCs w:val="20"/>
              </w:rPr>
            </w:pPr>
            <w:r w:rsidRPr="00EE294E">
              <w:rPr>
                <w:rFonts w:ascii="Times New Roman" w:eastAsia="Times New Roman" w:hAnsi="Times New Roman" w:cs="Times New Roman"/>
                <w:sz w:val="20"/>
                <w:szCs w:val="20"/>
              </w:rPr>
              <w:t>Në përputhje.</w:t>
            </w:r>
          </w:p>
          <w:p w14:paraId="2DCE6959" w14:textId="77777777" w:rsidR="0009621F" w:rsidRPr="00EE294E" w:rsidRDefault="0009621F" w:rsidP="00EE294E">
            <w:pPr>
              <w:jc w:val="both"/>
              <w:rPr>
                <w:rFonts w:ascii="Times New Roman" w:eastAsia="Times New Roman" w:hAnsi="Times New Roman" w:cs="Times New Roman"/>
                <w:sz w:val="20"/>
                <w:szCs w:val="20"/>
              </w:rPr>
            </w:pPr>
          </w:p>
          <w:p w14:paraId="3D7069AE" w14:textId="710A28DC" w:rsidR="00DE1D10" w:rsidRPr="00EE294E" w:rsidRDefault="00DE1D10" w:rsidP="00EE294E">
            <w:pPr>
              <w:jc w:val="both"/>
              <w:rPr>
                <w:rFonts w:ascii="Times New Roman" w:eastAsia="Times New Roman" w:hAnsi="Times New Roman" w:cs="Times New Roman"/>
                <w:sz w:val="20"/>
                <w:szCs w:val="20"/>
              </w:rPr>
            </w:pPr>
            <w:r w:rsidRPr="00EE294E">
              <w:rPr>
                <w:rFonts w:ascii="Times New Roman" w:eastAsia="Times New Roman" w:hAnsi="Times New Roman" w:cs="Times New Roman"/>
                <w:sz w:val="20"/>
                <w:szCs w:val="20"/>
              </w:rPr>
              <w:t>Rastet e përjashtimeve nga raportimi janë të kuptueshme nga Hyrja dhe nga interpretimi i plotë i dispozitave të Direktivës.</w:t>
            </w:r>
          </w:p>
          <w:p w14:paraId="69C86EE8" w14:textId="29B16C49" w:rsidR="00035075" w:rsidRPr="00EE294E" w:rsidRDefault="00DE1D10" w:rsidP="00EE294E">
            <w:pPr>
              <w:jc w:val="both"/>
              <w:rPr>
                <w:rFonts w:ascii="Times New Roman" w:hAnsi="Times New Roman" w:cs="Times New Roman"/>
                <w:sz w:val="20"/>
                <w:szCs w:val="20"/>
              </w:rPr>
            </w:pPr>
            <w:r w:rsidRPr="00EE294E">
              <w:rPr>
                <w:rFonts w:ascii="Times New Roman" w:eastAsia="Times New Roman" w:hAnsi="Times New Roman" w:cs="Times New Roman"/>
                <w:sz w:val="20"/>
                <w:szCs w:val="20"/>
              </w:rPr>
              <w:t xml:space="preserve">Në përputhje me to, Shqipëria ka futur nenin 7 si një dispozitë shtesë kombëtare për qartësi dhe siguri ligjore dhe </w:t>
            </w:r>
            <w:r w:rsidR="00035075" w:rsidRPr="00EE294E">
              <w:rPr>
                <w:rFonts w:ascii="Times New Roman" w:eastAsia="Calibri" w:hAnsi="Times New Roman" w:cs="Times New Roman"/>
                <w:iCs/>
                <w:sz w:val="20"/>
                <w:szCs w:val="20"/>
              </w:rPr>
              <w:t>nuk prezanton asnjë përjashtim shtesë.</w:t>
            </w:r>
            <w:r w:rsidR="00035075" w:rsidRPr="00EE294E">
              <w:rPr>
                <w:rFonts w:ascii="Times New Roman" w:hAnsi="Times New Roman" w:cs="Times New Roman"/>
                <w:sz w:val="20"/>
                <w:szCs w:val="20"/>
              </w:rPr>
              <w:t xml:space="preserve"> </w:t>
            </w:r>
          </w:p>
          <w:p w14:paraId="2CB23ED8" w14:textId="77777777" w:rsidR="00035075" w:rsidRPr="00EE294E" w:rsidRDefault="00035075" w:rsidP="00EE294E">
            <w:pPr>
              <w:jc w:val="both"/>
              <w:rPr>
                <w:rFonts w:ascii="Times New Roman" w:hAnsi="Times New Roman" w:cs="Times New Roman"/>
                <w:sz w:val="20"/>
                <w:szCs w:val="20"/>
              </w:rPr>
            </w:pPr>
          </w:p>
          <w:p w14:paraId="00C351E9" w14:textId="7E592681" w:rsidR="003C045B" w:rsidRPr="00EE294E" w:rsidRDefault="003C045B" w:rsidP="00EE294E">
            <w:pPr>
              <w:jc w:val="both"/>
              <w:rPr>
                <w:rFonts w:ascii="Times New Roman" w:eastAsia="Calibri" w:hAnsi="Times New Roman" w:cs="Times New Roman"/>
                <w:sz w:val="20"/>
                <w:szCs w:val="20"/>
              </w:rPr>
            </w:pPr>
            <w:r w:rsidRPr="00EE294E">
              <w:rPr>
                <w:rFonts w:ascii="Times New Roman" w:hAnsi="Times New Roman" w:cs="Times New Roman"/>
                <w:sz w:val="20"/>
                <w:szCs w:val="20"/>
              </w:rPr>
              <w:t>Neni 7 i ligjit për përjashtimet nga detyrimi për të raportuar pagesat ndërkufitare është në përputhje me parimet e direktivave dhe rregulloreve të Bashkimit Evropian, veçanërisht me CESOP.</w:t>
            </w:r>
          </w:p>
        </w:tc>
      </w:tr>
      <w:tr w:rsidR="003C045B" w:rsidRPr="00EE294E" w14:paraId="5A93F6C3" w14:textId="77777777" w:rsidTr="00990A3C">
        <w:trPr>
          <w:trHeight w:val="1097"/>
        </w:trPr>
        <w:tc>
          <w:tcPr>
            <w:tcW w:w="540" w:type="dxa"/>
          </w:tcPr>
          <w:p w14:paraId="4797BA55" w14:textId="598CB9A2" w:rsidR="003C045B" w:rsidRPr="00EE294E" w:rsidRDefault="003C045B" w:rsidP="003C045B">
            <w:pPr>
              <w:jc w:val="both"/>
              <w:rPr>
                <w:rFonts w:ascii="Times New Roman" w:eastAsia="Calibri" w:hAnsi="Times New Roman" w:cs="Times New Roman"/>
                <w:sz w:val="20"/>
                <w:szCs w:val="20"/>
              </w:rPr>
            </w:pPr>
          </w:p>
        </w:tc>
        <w:tc>
          <w:tcPr>
            <w:tcW w:w="5400" w:type="dxa"/>
            <w:shd w:val="clear" w:color="auto" w:fill="D0CECE" w:themeFill="background2" w:themeFillShade="E6"/>
          </w:tcPr>
          <w:p w14:paraId="2F672305" w14:textId="77777777" w:rsidR="003C045B" w:rsidRPr="00EE294E" w:rsidRDefault="003C045B" w:rsidP="003C045B">
            <w:pPr>
              <w:shd w:val="clear" w:color="auto" w:fill="FFFFFF"/>
              <w:spacing w:before="360" w:after="120"/>
              <w:jc w:val="center"/>
              <w:rPr>
                <w:rFonts w:ascii="Times New Roman" w:eastAsia="Times New Roman" w:hAnsi="Times New Roman" w:cs="Times New Roman"/>
                <w:i/>
                <w:iCs/>
                <w:color w:val="333333"/>
                <w:sz w:val="20"/>
                <w:szCs w:val="20"/>
              </w:rPr>
            </w:pPr>
            <w:r w:rsidRPr="00EE294E">
              <w:rPr>
                <w:rFonts w:ascii="Times New Roman" w:eastAsia="Times New Roman" w:hAnsi="Times New Roman" w:cs="Times New Roman"/>
                <w:i/>
                <w:iCs/>
                <w:color w:val="333333"/>
                <w:sz w:val="20"/>
                <w:szCs w:val="20"/>
              </w:rPr>
              <w:t>Neni 243c</w:t>
            </w:r>
          </w:p>
          <w:p w14:paraId="22D42666" w14:textId="4A55D301" w:rsidR="003C045B" w:rsidRPr="00EE294E" w:rsidRDefault="003C045B" w:rsidP="003C045B">
            <w:pPr>
              <w:jc w:val="both"/>
              <w:rPr>
                <w:rFonts w:ascii="Times New Roman" w:eastAsia="Calibri" w:hAnsi="Times New Roman" w:cs="Times New Roman"/>
                <w:i/>
                <w:iCs/>
                <w:sz w:val="20"/>
                <w:szCs w:val="20"/>
                <w:lang w:val="en-US"/>
              </w:rPr>
            </w:pPr>
          </w:p>
        </w:tc>
        <w:tc>
          <w:tcPr>
            <w:tcW w:w="450" w:type="dxa"/>
            <w:shd w:val="clear" w:color="auto" w:fill="D0CECE" w:themeFill="background2" w:themeFillShade="E6"/>
          </w:tcPr>
          <w:p w14:paraId="28D874F5" w14:textId="7BD8E1A8" w:rsidR="003C045B" w:rsidRPr="00EE294E" w:rsidRDefault="003C045B" w:rsidP="003C045B">
            <w:pPr>
              <w:jc w:val="center"/>
              <w:rPr>
                <w:rFonts w:ascii="Times New Roman" w:eastAsia="Calibri" w:hAnsi="Times New Roman" w:cs="Times New Roman"/>
                <w:i/>
                <w:iCs/>
                <w:sz w:val="20"/>
                <w:szCs w:val="20"/>
              </w:rPr>
            </w:pPr>
          </w:p>
        </w:tc>
        <w:tc>
          <w:tcPr>
            <w:tcW w:w="644" w:type="dxa"/>
            <w:shd w:val="clear" w:color="auto" w:fill="D0CECE" w:themeFill="background2" w:themeFillShade="E6"/>
          </w:tcPr>
          <w:p w14:paraId="0A5D8D1F" w14:textId="77777777" w:rsidR="003C045B" w:rsidRPr="00EE294E" w:rsidRDefault="003C045B" w:rsidP="003C045B">
            <w:pPr>
              <w:jc w:val="center"/>
              <w:rPr>
                <w:rFonts w:ascii="Times New Roman" w:eastAsia="Calibri" w:hAnsi="Times New Roman" w:cs="Times New Roman"/>
                <w:i/>
                <w:iCs/>
                <w:sz w:val="20"/>
                <w:szCs w:val="20"/>
                <w:lang w:val="en-US"/>
              </w:rPr>
            </w:pPr>
          </w:p>
        </w:tc>
        <w:tc>
          <w:tcPr>
            <w:tcW w:w="5040" w:type="dxa"/>
            <w:shd w:val="clear" w:color="auto" w:fill="D0CECE" w:themeFill="background2" w:themeFillShade="E6"/>
          </w:tcPr>
          <w:p w14:paraId="1F090294" w14:textId="77777777" w:rsidR="003C3D4C" w:rsidRPr="00EE294E" w:rsidRDefault="003C3D4C" w:rsidP="003C3D4C">
            <w:pPr>
              <w:jc w:val="center"/>
              <w:rPr>
                <w:rFonts w:ascii="Times New Roman" w:eastAsia="Calibri" w:hAnsi="Times New Roman" w:cs="Times New Roman"/>
                <w:b/>
                <w:bCs/>
                <w:iCs/>
                <w:sz w:val="20"/>
                <w:szCs w:val="20"/>
                <w:lang w:val="en-US"/>
              </w:rPr>
            </w:pPr>
            <w:r w:rsidRPr="00EE294E">
              <w:rPr>
                <w:rFonts w:ascii="Times New Roman" w:eastAsia="Calibri" w:hAnsi="Times New Roman" w:cs="Times New Roman"/>
                <w:b/>
                <w:bCs/>
                <w:iCs/>
                <w:sz w:val="20"/>
                <w:szCs w:val="20"/>
                <w:lang w:val="en-US"/>
              </w:rPr>
              <w:t xml:space="preserve">Neni 8 </w:t>
            </w:r>
          </w:p>
          <w:p w14:paraId="41FBA751" w14:textId="7BA35B34" w:rsidR="003C045B" w:rsidRPr="00EE294E" w:rsidRDefault="003C3D4C" w:rsidP="003C3D4C">
            <w:pPr>
              <w:jc w:val="center"/>
              <w:rPr>
                <w:rFonts w:ascii="Times New Roman" w:eastAsia="Calibri" w:hAnsi="Times New Roman" w:cs="Times New Roman"/>
                <w:iCs/>
                <w:sz w:val="20"/>
                <w:szCs w:val="20"/>
                <w:lang w:val="en-US"/>
              </w:rPr>
            </w:pPr>
            <w:r w:rsidRPr="00EE294E">
              <w:rPr>
                <w:rFonts w:ascii="Times New Roman" w:eastAsia="Calibri" w:hAnsi="Times New Roman" w:cs="Times New Roman"/>
                <w:b/>
                <w:bCs/>
                <w:iCs/>
                <w:sz w:val="20"/>
                <w:szCs w:val="20"/>
                <w:lang w:val="en-US"/>
              </w:rPr>
              <w:t xml:space="preserve"> </w:t>
            </w:r>
            <w:proofErr w:type="spellStart"/>
            <w:r w:rsidRPr="00EE294E">
              <w:rPr>
                <w:rFonts w:ascii="Times New Roman" w:eastAsia="Calibri" w:hAnsi="Times New Roman" w:cs="Times New Roman"/>
                <w:b/>
                <w:bCs/>
                <w:iCs/>
                <w:sz w:val="20"/>
                <w:szCs w:val="20"/>
                <w:lang w:val="en-US"/>
              </w:rPr>
              <w:t>Vendndodhja</w:t>
            </w:r>
            <w:proofErr w:type="spellEnd"/>
            <w:r w:rsidRPr="00EE294E">
              <w:rPr>
                <w:rFonts w:ascii="Times New Roman" w:eastAsia="Calibri" w:hAnsi="Times New Roman" w:cs="Times New Roman"/>
                <w:b/>
                <w:bCs/>
                <w:iCs/>
                <w:sz w:val="20"/>
                <w:szCs w:val="20"/>
                <w:lang w:val="en-US"/>
              </w:rPr>
              <w:t xml:space="preserve"> e </w:t>
            </w:r>
            <w:proofErr w:type="spellStart"/>
            <w:r w:rsidRPr="00EE294E">
              <w:rPr>
                <w:rFonts w:ascii="Times New Roman" w:eastAsia="Calibri" w:hAnsi="Times New Roman" w:cs="Times New Roman"/>
                <w:b/>
                <w:bCs/>
                <w:iCs/>
                <w:sz w:val="20"/>
                <w:szCs w:val="20"/>
                <w:lang w:val="en-US"/>
              </w:rPr>
              <w:t>paguesit</w:t>
            </w:r>
            <w:proofErr w:type="spellEnd"/>
            <w:r w:rsidRPr="00EE294E">
              <w:rPr>
                <w:rFonts w:ascii="Times New Roman" w:eastAsia="Calibri" w:hAnsi="Times New Roman" w:cs="Times New Roman"/>
                <w:b/>
                <w:bCs/>
                <w:iCs/>
                <w:sz w:val="20"/>
                <w:szCs w:val="20"/>
                <w:lang w:val="en-US"/>
              </w:rPr>
              <w:t xml:space="preserve"> </w:t>
            </w:r>
            <w:proofErr w:type="spellStart"/>
            <w:r w:rsidRPr="00EE294E">
              <w:rPr>
                <w:rFonts w:ascii="Times New Roman" w:eastAsia="Calibri" w:hAnsi="Times New Roman" w:cs="Times New Roman"/>
                <w:b/>
                <w:bCs/>
                <w:iCs/>
                <w:sz w:val="20"/>
                <w:szCs w:val="20"/>
                <w:lang w:val="en-US"/>
              </w:rPr>
              <w:t>dhe</w:t>
            </w:r>
            <w:proofErr w:type="spellEnd"/>
            <w:r w:rsidRPr="00EE294E">
              <w:rPr>
                <w:rFonts w:ascii="Times New Roman" w:eastAsia="Calibri" w:hAnsi="Times New Roman" w:cs="Times New Roman"/>
                <w:b/>
                <w:bCs/>
                <w:iCs/>
                <w:sz w:val="20"/>
                <w:szCs w:val="20"/>
                <w:lang w:val="en-US"/>
              </w:rPr>
              <w:t xml:space="preserve"> </w:t>
            </w:r>
            <w:proofErr w:type="spellStart"/>
            <w:r w:rsidRPr="00EE294E">
              <w:rPr>
                <w:rFonts w:ascii="Times New Roman" w:eastAsia="Calibri" w:hAnsi="Times New Roman" w:cs="Times New Roman"/>
                <w:b/>
                <w:bCs/>
                <w:iCs/>
                <w:sz w:val="20"/>
                <w:szCs w:val="20"/>
                <w:lang w:val="en-US"/>
              </w:rPr>
              <w:t>përfituesit</w:t>
            </w:r>
            <w:proofErr w:type="spellEnd"/>
            <w:r w:rsidRPr="00EE294E">
              <w:rPr>
                <w:rFonts w:ascii="Times New Roman" w:eastAsia="Calibri" w:hAnsi="Times New Roman" w:cs="Times New Roman"/>
                <w:b/>
                <w:bCs/>
                <w:iCs/>
                <w:sz w:val="20"/>
                <w:szCs w:val="20"/>
                <w:lang w:val="en-US"/>
              </w:rPr>
              <w:t xml:space="preserve"> </w:t>
            </w:r>
            <w:proofErr w:type="spellStart"/>
            <w:r w:rsidRPr="00EE294E">
              <w:rPr>
                <w:rFonts w:ascii="Times New Roman" w:eastAsia="Calibri" w:hAnsi="Times New Roman" w:cs="Times New Roman"/>
                <w:b/>
                <w:bCs/>
                <w:iCs/>
                <w:sz w:val="20"/>
                <w:szCs w:val="20"/>
                <w:lang w:val="en-US"/>
              </w:rPr>
              <w:t>të</w:t>
            </w:r>
            <w:proofErr w:type="spellEnd"/>
            <w:r w:rsidRPr="00EE294E">
              <w:rPr>
                <w:rFonts w:ascii="Times New Roman" w:eastAsia="Calibri" w:hAnsi="Times New Roman" w:cs="Times New Roman"/>
                <w:b/>
                <w:bCs/>
                <w:iCs/>
                <w:sz w:val="20"/>
                <w:szCs w:val="20"/>
                <w:lang w:val="en-US"/>
              </w:rPr>
              <w:t xml:space="preserve"> </w:t>
            </w:r>
            <w:proofErr w:type="spellStart"/>
            <w:r w:rsidRPr="00EE294E">
              <w:rPr>
                <w:rFonts w:ascii="Times New Roman" w:eastAsia="Calibri" w:hAnsi="Times New Roman" w:cs="Times New Roman"/>
                <w:b/>
                <w:bCs/>
                <w:iCs/>
                <w:sz w:val="20"/>
                <w:szCs w:val="20"/>
                <w:lang w:val="en-US"/>
              </w:rPr>
              <w:t>pagesës</w:t>
            </w:r>
            <w:proofErr w:type="spellEnd"/>
          </w:p>
        </w:tc>
        <w:tc>
          <w:tcPr>
            <w:tcW w:w="720" w:type="dxa"/>
            <w:shd w:val="clear" w:color="auto" w:fill="D0CECE" w:themeFill="background2" w:themeFillShade="E6"/>
          </w:tcPr>
          <w:p w14:paraId="6E4EAC15" w14:textId="0D58B86B" w:rsidR="003C045B" w:rsidRPr="00EE294E" w:rsidRDefault="003C045B" w:rsidP="003C045B">
            <w:pPr>
              <w:jc w:val="center"/>
              <w:rPr>
                <w:rFonts w:ascii="Times New Roman" w:eastAsia="Calibri" w:hAnsi="Times New Roman" w:cs="Times New Roman"/>
                <w:i/>
                <w:iCs/>
                <w:sz w:val="20"/>
                <w:szCs w:val="20"/>
                <w:lang w:val="en-US"/>
              </w:rPr>
            </w:pPr>
          </w:p>
        </w:tc>
        <w:tc>
          <w:tcPr>
            <w:tcW w:w="3510" w:type="dxa"/>
            <w:shd w:val="clear" w:color="auto" w:fill="D0CECE" w:themeFill="background2" w:themeFillShade="E6"/>
          </w:tcPr>
          <w:p w14:paraId="5B2CA3C7" w14:textId="1DD4A019" w:rsidR="003C045B" w:rsidRPr="00EE294E" w:rsidRDefault="003C045B" w:rsidP="003C045B">
            <w:pPr>
              <w:rPr>
                <w:rFonts w:ascii="Times New Roman" w:eastAsia="Calibri" w:hAnsi="Times New Roman" w:cs="Times New Roman"/>
                <w:i/>
                <w:iCs/>
                <w:sz w:val="20"/>
                <w:szCs w:val="20"/>
                <w:lang w:val="en-US"/>
              </w:rPr>
            </w:pPr>
          </w:p>
        </w:tc>
      </w:tr>
      <w:tr w:rsidR="003C045B" w:rsidRPr="00EE294E" w14:paraId="7AB48AF4" w14:textId="77777777" w:rsidTr="004738EE">
        <w:tc>
          <w:tcPr>
            <w:tcW w:w="540" w:type="dxa"/>
          </w:tcPr>
          <w:p w14:paraId="796E7F23" w14:textId="465E4252" w:rsidR="003C045B" w:rsidRPr="00EE294E" w:rsidRDefault="003C045B" w:rsidP="003C045B">
            <w:pPr>
              <w:jc w:val="both"/>
              <w:rPr>
                <w:rFonts w:ascii="Times New Roman" w:eastAsia="Calibri" w:hAnsi="Times New Roman" w:cs="Times New Roman"/>
                <w:sz w:val="20"/>
                <w:szCs w:val="20"/>
                <w:lang w:val="en-US"/>
              </w:rPr>
            </w:pPr>
          </w:p>
        </w:tc>
        <w:tc>
          <w:tcPr>
            <w:tcW w:w="5400" w:type="dxa"/>
          </w:tcPr>
          <w:p w14:paraId="22B74455" w14:textId="77777777" w:rsidR="003C045B" w:rsidRPr="00EE294E" w:rsidRDefault="003C045B" w:rsidP="003C045B">
            <w:pPr>
              <w:shd w:val="clear" w:color="auto" w:fill="FFFFFF"/>
              <w:spacing w:before="120"/>
              <w:jc w:val="both"/>
              <w:rPr>
                <w:rFonts w:ascii="Times New Roman" w:eastAsia="Times New Roman" w:hAnsi="Times New Roman" w:cs="Times New Roman"/>
                <w:color w:val="333333"/>
                <w:sz w:val="20"/>
                <w:szCs w:val="20"/>
              </w:rPr>
            </w:pPr>
            <w:r w:rsidRPr="00EE294E">
              <w:rPr>
                <w:rFonts w:ascii="Times New Roman" w:eastAsia="Times New Roman" w:hAnsi="Times New Roman" w:cs="Times New Roman"/>
                <w:color w:val="333333"/>
                <w:sz w:val="20"/>
                <w:szCs w:val="20"/>
              </w:rPr>
              <w:t>1. Për zbatimin e nënparagrafit të dytë të nenit 243b(1) dhe pa cenuar dispozitat e Titullit V, vendndodhja e paguesit konsiderohet të jetë në Shtetin Anëtar që korrespondon me:</w:t>
            </w:r>
          </w:p>
          <w:tbl>
            <w:tblPr>
              <w:tblW w:w="5000" w:type="pct"/>
              <w:tblLayout w:type="fixed"/>
              <w:tblCellMar>
                <w:left w:w="0" w:type="dxa"/>
                <w:right w:w="0" w:type="dxa"/>
              </w:tblCellMar>
              <w:tblLook w:val="04A0" w:firstRow="1" w:lastRow="0" w:firstColumn="1" w:lastColumn="0" w:noHBand="0" w:noVBand="1"/>
            </w:tblPr>
            <w:tblGrid>
              <w:gridCol w:w="156"/>
              <w:gridCol w:w="5028"/>
            </w:tblGrid>
            <w:tr w:rsidR="003C045B" w:rsidRPr="00EE294E" w14:paraId="36B385A4" w14:textId="77777777" w:rsidTr="0042577F">
              <w:tc>
                <w:tcPr>
                  <w:tcW w:w="267" w:type="dxa"/>
                  <w:hideMark/>
                </w:tcPr>
                <w:p w14:paraId="6BC533FA" w14:textId="77777777" w:rsidR="003C045B" w:rsidRPr="00EE294E" w:rsidRDefault="003C045B" w:rsidP="003C045B">
                  <w:pPr>
                    <w:spacing w:before="120" w:after="0" w:line="240" w:lineRule="auto"/>
                    <w:jc w:val="both"/>
                    <w:rPr>
                      <w:rFonts w:ascii="Times New Roman" w:eastAsia="Times New Roman" w:hAnsi="Times New Roman" w:cs="Times New Roman"/>
                      <w:kern w:val="0"/>
                      <w:sz w:val="20"/>
                      <w:szCs w:val="20"/>
                      <w14:ligatures w14:val="none"/>
                    </w:rPr>
                  </w:pPr>
                  <w:r w:rsidRPr="00EE294E">
                    <w:rPr>
                      <w:rFonts w:ascii="Times New Roman" w:eastAsia="Times New Roman" w:hAnsi="Times New Roman" w:cs="Times New Roman"/>
                      <w:kern w:val="0"/>
                      <w:sz w:val="20"/>
                      <w:szCs w:val="20"/>
                      <w14:ligatures w14:val="none"/>
                    </w:rPr>
                    <w:t>(a)</w:t>
                  </w:r>
                </w:p>
              </w:tc>
              <w:tc>
                <w:tcPr>
                  <w:tcW w:w="9093" w:type="dxa"/>
                  <w:hideMark/>
                </w:tcPr>
                <w:p w14:paraId="0767DDC5" w14:textId="77777777" w:rsidR="003C045B" w:rsidRPr="00EE294E" w:rsidRDefault="003C045B" w:rsidP="003C045B">
                  <w:pPr>
                    <w:spacing w:before="120" w:after="0" w:line="240" w:lineRule="auto"/>
                    <w:jc w:val="both"/>
                    <w:rPr>
                      <w:rFonts w:ascii="Times New Roman" w:eastAsia="Times New Roman" w:hAnsi="Times New Roman" w:cs="Times New Roman"/>
                      <w:kern w:val="0"/>
                      <w:sz w:val="20"/>
                      <w:szCs w:val="20"/>
                      <w14:ligatures w14:val="none"/>
                    </w:rPr>
                  </w:pPr>
                  <w:r w:rsidRPr="00EE294E">
                    <w:rPr>
                      <w:rFonts w:ascii="Times New Roman" w:eastAsia="Times New Roman" w:hAnsi="Times New Roman" w:cs="Times New Roman"/>
                      <w:kern w:val="0"/>
                      <w:sz w:val="20"/>
                      <w:szCs w:val="20"/>
                      <w14:ligatures w14:val="none"/>
                    </w:rPr>
                    <w:t>IBAN-i i llogarisë së pagesës së paguesit ose çdo identifikues tjetër që identifikon në mënyrë të qartë dhe jep vendndodhjen e paguesit, ose në mungesë të identifikuesve të tillë,</w:t>
                  </w:r>
                </w:p>
              </w:tc>
            </w:tr>
          </w:tbl>
          <w:p w14:paraId="201AAB76" w14:textId="77777777" w:rsidR="003C045B" w:rsidRPr="00EE294E" w:rsidRDefault="003C045B" w:rsidP="003C045B">
            <w:pPr>
              <w:shd w:val="clear" w:color="auto" w:fill="FFFFFF"/>
              <w:rPr>
                <w:rFonts w:ascii="Times New Roman" w:eastAsia="Times New Roman" w:hAnsi="Times New Roman" w:cs="Times New Roman"/>
                <w:vanish/>
                <w:color w:val="333333"/>
                <w:sz w:val="20"/>
                <w:szCs w:val="20"/>
              </w:rPr>
            </w:pPr>
          </w:p>
          <w:tbl>
            <w:tblPr>
              <w:tblW w:w="5000" w:type="pct"/>
              <w:tblLayout w:type="fixed"/>
              <w:tblCellMar>
                <w:left w:w="0" w:type="dxa"/>
                <w:right w:w="0" w:type="dxa"/>
              </w:tblCellMar>
              <w:tblLook w:val="04A0" w:firstRow="1" w:lastRow="0" w:firstColumn="1" w:lastColumn="0" w:noHBand="0" w:noVBand="1"/>
            </w:tblPr>
            <w:tblGrid>
              <w:gridCol w:w="164"/>
              <w:gridCol w:w="5020"/>
            </w:tblGrid>
            <w:tr w:rsidR="003C045B" w:rsidRPr="00EE294E" w14:paraId="0F3C4865" w14:textId="77777777" w:rsidTr="0042577F">
              <w:tc>
                <w:tcPr>
                  <w:tcW w:w="280" w:type="dxa"/>
                  <w:hideMark/>
                </w:tcPr>
                <w:p w14:paraId="3A30A143" w14:textId="77777777" w:rsidR="003C045B" w:rsidRPr="00EE294E" w:rsidRDefault="003C045B" w:rsidP="003C045B">
                  <w:pPr>
                    <w:spacing w:before="120" w:after="0" w:line="240" w:lineRule="auto"/>
                    <w:jc w:val="both"/>
                    <w:rPr>
                      <w:rFonts w:ascii="Times New Roman" w:eastAsia="Times New Roman" w:hAnsi="Times New Roman" w:cs="Times New Roman"/>
                      <w:kern w:val="0"/>
                      <w:sz w:val="20"/>
                      <w:szCs w:val="20"/>
                      <w14:ligatures w14:val="none"/>
                    </w:rPr>
                  </w:pPr>
                  <w:r w:rsidRPr="00EE294E">
                    <w:rPr>
                      <w:rFonts w:ascii="Times New Roman" w:eastAsia="Times New Roman" w:hAnsi="Times New Roman" w:cs="Times New Roman"/>
                      <w:kern w:val="0"/>
                      <w:sz w:val="20"/>
                      <w:szCs w:val="20"/>
                      <w14:ligatures w14:val="none"/>
                    </w:rPr>
                    <w:lastRenderedPageBreak/>
                    <w:t>(b)</w:t>
                  </w:r>
                </w:p>
              </w:tc>
              <w:tc>
                <w:tcPr>
                  <w:tcW w:w="9080" w:type="dxa"/>
                  <w:hideMark/>
                </w:tcPr>
                <w:p w14:paraId="76A7678B" w14:textId="77777777" w:rsidR="003C045B" w:rsidRPr="00EE294E" w:rsidRDefault="003C045B" w:rsidP="003C045B">
                  <w:pPr>
                    <w:spacing w:before="120" w:after="0" w:line="240" w:lineRule="auto"/>
                    <w:jc w:val="both"/>
                    <w:rPr>
                      <w:rFonts w:ascii="Times New Roman" w:eastAsia="Times New Roman" w:hAnsi="Times New Roman" w:cs="Times New Roman"/>
                      <w:kern w:val="0"/>
                      <w:sz w:val="20"/>
                      <w:szCs w:val="20"/>
                      <w14:ligatures w14:val="none"/>
                    </w:rPr>
                  </w:pPr>
                  <w:r w:rsidRPr="00EE294E">
                    <w:rPr>
                      <w:rFonts w:ascii="Times New Roman" w:eastAsia="Times New Roman" w:hAnsi="Times New Roman" w:cs="Times New Roman"/>
                      <w:kern w:val="0"/>
                      <w:sz w:val="20"/>
                      <w:szCs w:val="20"/>
                      <w14:ligatures w14:val="none"/>
                    </w:rPr>
                    <w:t>BIC-u ose çdo kod tjetër identifikues biznesi që identifikon në mënyrë të qartë dhe jep vendndodhjen e ofruesit të shërbimit të pagesave që vepron në emër të paguesit.</w:t>
                  </w:r>
                </w:p>
              </w:tc>
            </w:tr>
          </w:tbl>
          <w:p w14:paraId="16B1F8C6" w14:textId="77777777" w:rsidR="003C045B" w:rsidRPr="00EE294E" w:rsidRDefault="003C045B" w:rsidP="003C045B">
            <w:pPr>
              <w:shd w:val="clear" w:color="auto" w:fill="FFFFFF"/>
              <w:spacing w:before="120"/>
              <w:jc w:val="both"/>
              <w:rPr>
                <w:rFonts w:ascii="Times New Roman" w:eastAsia="Times New Roman" w:hAnsi="Times New Roman" w:cs="Times New Roman"/>
                <w:color w:val="333333"/>
                <w:sz w:val="20"/>
                <w:szCs w:val="20"/>
              </w:rPr>
            </w:pPr>
            <w:r w:rsidRPr="00EE294E">
              <w:rPr>
                <w:rFonts w:ascii="Times New Roman" w:eastAsia="Times New Roman" w:hAnsi="Times New Roman" w:cs="Times New Roman"/>
                <w:color w:val="333333"/>
                <w:sz w:val="20"/>
                <w:szCs w:val="20"/>
              </w:rPr>
              <w:t>2. Për zbatimin e nënparagrafit të dytë të nenit 243b(1), vendndodhja e përfituesit të pagesës konsiderohet të jetë në Shtetin Anëtar, territorin e tretë ose vendin e tretë që korrespondon me:</w:t>
            </w:r>
          </w:p>
          <w:tbl>
            <w:tblPr>
              <w:tblW w:w="5000" w:type="pct"/>
              <w:tblLayout w:type="fixed"/>
              <w:tblCellMar>
                <w:left w:w="0" w:type="dxa"/>
                <w:right w:w="0" w:type="dxa"/>
              </w:tblCellMar>
              <w:tblLook w:val="04A0" w:firstRow="1" w:lastRow="0" w:firstColumn="1" w:lastColumn="0" w:noHBand="0" w:noVBand="1"/>
            </w:tblPr>
            <w:tblGrid>
              <w:gridCol w:w="156"/>
              <w:gridCol w:w="5028"/>
            </w:tblGrid>
            <w:tr w:rsidR="003C045B" w:rsidRPr="00EE294E" w14:paraId="6A333BD7" w14:textId="77777777" w:rsidTr="0042577F">
              <w:tc>
                <w:tcPr>
                  <w:tcW w:w="267" w:type="dxa"/>
                  <w:hideMark/>
                </w:tcPr>
                <w:p w14:paraId="44A1929B" w14:textId="77777777" w:rsidR="003C045B" w:rsidRPr="00EE294E" w:rsidRDefault="003C045B" w:rsidP="003C045B">
                  <w:pPr>
                    <w:spacing w:before="120" w:after="0" w:line="240" w:lineRule="auto"/>
                    <w:jc w:val="both"/>
                    <w:rPr>
                      <w:rFonts w:ascii="Times New Roman" w:eastAsia="Times New Roman" w:hAnsi="Times New Roman" w:cs="Times New Roman"/>
                      <w:kern w:val="0"/>
                      <w:sz w:val="20"/>
                      <w:szCs w:val="20"/>
                      <w14:ligatures w14:val="none"/>
                    </w:rPr>
                  </w:pPr>
                  <w:r w:rsidRPr="00EE294E">
                    <w:rPr>
                      <w:rFonts w:ascii="Times New Roman" w:eastAsia="Times New Roman" w:hAnsi="Times New Roman" w:cs="Times New Roman"/>
                      <w:kern w:val="0"/>
                      <w:sz w:val="20"/>
                      <w:szCs w:val="20"/>
                      <w14:ligatures w14:val="none"/>
                    </w:rPr>
                    <w:t>(a)</w:t>
                  </w:r>
                </w:p>
              </w:tc>
              <w:tc>
                <w:tcPr>
                  <w:tcW w:w="9093" w:type="dxa"/>
                  <w:hideMark/>
                </w:tcPr>
                <w:p w14:paraId="05821383" w14:textId="77777777" w:rsidR="003C045B" w:rsidRPr="00EE294E" w:rsidRDefault="003C045B" w:rsidP="003C045B">
                  <w:pPr>
                    <w:spacing w:before="120" w:after="0" w:line="240" w:lineRule="auto"/>
                    <w:jc w:val="both"/>
                    <w:rPr>
                      <w:rFonts w:ascii="Times New Roman" w:eastAsia="Times New Roman" w:hAnsi="Times New Roman" w:cs="Times New Roman"/>
                      <w:kern w:val="0"/>
                      <w:sz w:val="20"/>
                      <w:szCs w:val="20"/>
                      <w14:ligatures w14:val="none"/>
                    </w:rPr>
                  </w:pPr>
                  <w:r w:rsidRPr="00EE294E">
                    <w:rPr>
                      <w:rFonts w:ascii="Times New Roman" w:eastAsia="Times New Roman" w:hAnsi="Times New Roman" w:cs="Times New Roman"/>
                      <w:kern w:val="0"/>
                      <w:sz w:val="20"/>
                      <w:szCs w:val="20"/>
                      <w14:ligatures w14:val="none"/>
                    </w:rPr>
                    <w:t>IBAN-i i llogarisë së pagesës së përfituesit të pagesës ose çdo identifikues tjetër që identifikon në mënyrë të qartë përfituesin e pagesës dhe jep vendndodhjen e tij, ose në mungesë të identifikuesve të tillë,</w:t>
                  </w:r>
                </w:p>
              </w:tc>
            </w:tr>
          </w:tbl>
          <w:p w14:paraId="4A8B8A3C" w14:textId="77777777" w:rsidR="003C045B" w:rsidRPr="00EE294E" w:rsidRDefault="003C045B" w:rsidP="003C045B">
            <w:pPr>
              <w:shd w:val="clear" w:color="auto" w:fill="FFFFFF"/>
              <w:rPr>
                <w:rFonts w:ascii="Times New Roman" w:eastAsia="Times New Roman" w:hAnsi="Times New Roman" w:cs="Times New Roman"/>
                <w:vanish/>
                <w:color w:val="333333"/>
                <w:sz w:val="20"/>
                <w:szCs w:val="20"/>
              </w:rPr>
            </w:pPr>
          </w:p>
          <w:tbl>
            <w:tblPr>
              <w:tblW w:w="5000" w:type="pct"/>
              <w:tblLayout w:type="fixed"/>
              <w:tblCellMar>
                <w:left w:w="0" w:type="dxa"/>
                <w:right w:w="0" w:type="dxa"/>
              </w:tblCellMar>
              <w:tblLook w:val="04A0" w:firstRow="1" w:lastRow="0" w:firstColumn="1" w:lastColumn="0" w:noHBand="0" w:noVBand="1"/>
            </w:tblPr>
            <w:tblGrid>
              <w:gridCol w:w="164"/>
              <w:gridCol w:w="5020"/>
            </w:tblGrid>
            <w:tr w:rsidR="003C045B" w:rsidRPr="00EE294E" w14:paraId="0010A979" w14:textId="77777777" w:rsidTr="0042577F">
              <w:tc>
                <w:tcPr>
                  <w:tcW w:w="280" w:type="dxa"/>
                  <w:hideMark/>
                </w:tcPr>
                <w:p w14:paraId="6643058C" w14:textId="77777777" w:rsidR="003C045B" w:rsidRPr="00EE294E" w:rsidRDefault="003C045B" w:rsidP="003C045B">
                  <w:pPr>
                    <w:spacing w:before="120" w:after="0" w:line="240" w:lineRule="auto"/>
                    <w:jc w:val="both"/>
                    <w:rPr>
                      <w:rFonts w:ascii="Times New Roman" w:eastAsia="Times New Roman" w:hAnsi="Times New Roman" w:cs="Times New Roman"/>
                      <w:kern w:val="0"/>
                      <w:sz w:val="20"/>
                      <w:szCs w:val="20"/>
                      <w14:ligatures w14:val="none"/>
                    </w:rPr>
                  </w:pPr>
                  <w:r w:rsidRPr="00EE294E">
                    <w:rPr>
                      <w:rFonts w:ascii="Times New Roman" w:eastAsia="Times New Roman" w:hAnsi="Times New Roman" w:cs="Times New Roman"/>
                      <w:kern w:val="0"/>
                      <w:sz w:val="20"/>
                      <w:szCs w:val="20"/>
                      <w14:ligatures w14:val="none"/>
                    </w:rPr>
                    <w:t>(b)</w:t>
                  </w:r>
                </w:p>
              </w:tc>
              <w:tc>
                <w:tcPr>
                  <w:tcW w:w="9080" w:type="dxa"/>
                  <w:hideMark/>
                </w:tcPr>
                <w:p w14:paraId="3438BF53" w14:textId="77777777" w:rsidR="003C045B" w:rsidRPr="00EE294E" w:rsidRDefault="003C045B" w:rsidP="003C045B">
                  <w:pPr>
                    <w:spacing w:before="120" w:after="0" w:line="240" w:lineRule="auto"/>
                    <w:jc w:val="both"/>
                    <w:rPr>
                      <w:rFonts w:ascii="Times New Roman" w:eastAsia="Times New Roman" w:hAnsi="Times New Roman" w:cs="Times New Roman"/>
                      <w:kern w:val="0"/>
                      <w:sz w:val="20"/>
                      <w:szCs w:val="20"/>
                      <w14:ligatures w14:val="none"/>
                    </w:rPr>
                  </w:pPr>
                  <w:r w:rsidRPr="00EE294E">
                    <w:rPr>
                      <w:rFonts w:ascii="Times New Roman" w:eastAsia="Times New Roman" w:hAnsi="Times New Roman" w:cs="Times New Roman"/>
                      <w:kern w:val="0"/>
                      <w:sz w:val="20"/>
                      <w:szCs w:val="20"/>
                      <w14:ligatures w14:val="none"/>
                    </w:rPr>
                    <w:t>BIC-in ose çdo kod tjetër identifikues biznesi që identifikon në mënyrë të qartë dhe jep vendndodhjen e ofruesit të shërbimit të pagesave që vepron në emër të përfituesit të pagesës.</w:t>
                  </w:r>
                </w:p>
              </w:tc>
            </w:tr>
          </w:tbl>
          <w:p w14:paraId="1F105BED" w14:textId="7AF93B20" w:rsidR="003C045B" w:rsidRPr="00EE294E" w:rsidRDefault="003C045B" w:rsidP="003C045B">
            <w:pPr>
              <w:jc w:val="both"/>
              <w:rPr>
                <w:rFonts w:ascii="Times New Roman" w:eastAsia="Calibri" w:hAnsi="Times New Roman" w:cs="Times New Roman"/>
                <w:iCs/>
                <w:sz w:val="20"/>
                <w:szCs w:val="20"/>
              </w:rPr>
            </w:pPr>
          </w:p>
        </w:tc>
        <w:tc>
          <w:tcPr>
            <w:tcW w:w="450" w:type="dxa"/>
          </w:tcPr>
          <w:p w14:paraId="3E152E78" w14:textId="127DB0ED" w:rsidR="003C045B" w:rsidRPr="00EE294E" w:rsidRDefault="003C045B" w:rsidP="003C045B">
            <w:pPr>
              <w:jc w:val="center"/>
              <w:rPr>
                <w:rFonts w:ascii="Times New Roman" w:eastAsia="Calibri" w:hAnsi="Times New Roman" w:cs="Times New Roman"/>
                <w:sz w:val="20"/>
                <w:szCs w:val="20"/>
              </w:rPr>
            </w:pPr>
          </w:p>
        </w:tc>
        <w:tc>
          <w:tcPr>
            <w:tcW w:w="644" w:type="dxa"/>
          </w:tcPr>
          <w:p w14:paraId="0152B602" w14:textId="4AF028AD" w:rsidR="003C045B" w:rsidRPr="00EE294E" w:rsidRDefault="002A7599" w:rsidP="003C045B">
            <w:pPr>
              <w:jc w:val="center"/>
              <w:rPr>
                <w:rFonts w:ascii="Times New Roman" w:eastAsia="Calibri" w:hAnsi="Times New Roman" w:cs="Times New Roman"/>
                <w:sz w:val="20"/>
                <w:szCs w:val="20"/>
                <w:lang w:val="en-US"/>
              </w:rPr>
            </w:pPr>
            <w:r w:rsidRPr="00EE294E">
              <w:rPr>
                <w:rFonts w:ascii="Times New Roman" w:eastAsia="Calibri" w:hAnsi="Times New Roman" w:cs="Times New Roman"/>
                <w:sz w:val="20"/>
                <w:szCs w:val="20"/>
                <w:lang w:val="en-US"/>
              </w:rPr>
              <w:t xml:space="preserve">Neni 8 </w:t>
            </w:r>
          </w:p>
        </w:tc>
        <w:tc>
          <w:tcPr>
            <w:tcW w:w="5040" w:type="dxa"/>
          </w:tcPr>
          <w:p w14:paraId="461B047F" w14:textId="6F94419B" w:rsidR="003C3D4C" w:rsidRPr="00EE294E" w:rsidRDefault="003C3D4C" w:rsidP="003C3D4C">
            <w:pPr>
              <w:jc w:val="both"/>
              <w:rPr>
                <w:rFonts w:ascii="Times New Roman" w:eastAsia="Calibri" w:hAnsi="Times New Roman" w:cs="Times New Roman"/>
                <w:sz w:val="20"/>
                <w:szCs w:val="20"/>
              </w:rPr>
            </w:pPr>
            <w:r w:rsidRPr="00EE294E">
              <w:rPr>
                <w:rFonts w:ascii="Times New Roman" w:eastAsia="Calibri" w:hAnsi="Times New Roman" w:cs="Times New Roman"/>
                <w:sz w:val="20"/>
                <w:szCs w:val="20"/>
              </w:rPr>
              <w:t>1.</w:t>
            </w:r>
            <w:r w:rsidRPr="00EE294E">
              <w:rPr>
                <w:rFonts w:ascii="Times New Roman" w:eastAsia="Calibri" w:hAnsi="Times New Roman" w:cs="Times New Roman"/>
                <w:sz w:val="20"/>
                <w:szCs w:val="20"/>
              </w:rPr>
              <w:tab/>
              <w:t xml:space="preserve">Për </w:t>
            </w:r>
            <w:proofErr w:type="spellStart"/>
            <w:r w:rsidR="00902238" w:rsidRPr="00EE294E">
              <w:rPr>
                <w:rFonts w:ascii="Times New Roman" w:hAnsi="Times New Roman" w:cs="Times New Roman"/>
                <w:bCs/>
                <w:color w:val="000000" w:themeColor="text1"/>
                <w:sz w:val="20"/>
                <w:szCs w:val="20"/>
                <w:lang w:val="en-US"/>
              </w:rPr>
              <w:t>t</w:t>
            </w:r>
            <w:r w:rsidR="00EE294E">
              <w:rPr>
                <w:rFonts w:ascii="Times New Roman" w:hAnsi="Times New Roman" w:cs="Times New Roman"/>
                <w:bCs/>
                <w:color w:val="000000" w:themeColor="text1"/>
                <w:sz w:val="20"/>
                <w:szCs w:val="20"/>
                <w:lang w:val="en-US"/>
              </w:rPr>
              <w:t>ë</w:t>
            </w:r>
            <w:proofErr w:type="spellEnd"/>
            <w:r w:rsidR="00902238" w:rsidRPr="00EE294E">
              <w:rPr>
                <w:rFonts w:ascii="Times New Roman" w:hAnsi="Times New Roman" w:cs="Times New Roman"/>
                <w:bCs/>
                <w:color w:val="000000" w:themeColor="text1"/>
                <w:sz w:val="20"/>
                <w:szCs w:val="20"/>
                <w:lang w:val="en-US"/>
              </w:rPr>
              <w:t xml:space="preserve"> </w:t>
            </w:r>
            <w:proofErr w:type="spellStart"/>
            <w:r w:rsidR="00902238" w:rsidRPr="00EE294E">
              <w:rPr>
                <w:rFonts w:ascii="Times New Roman" w:hAnsi="Times New Roman" w:cs="Times New Roman"/>
                <w:bCs/>
                <w:color w:val="000000" w:themeColor="text1"/>
                <w:sz w:val="20"/>
                <w:szCs w:val="20"/>
                <w:lang w:val="en-US"/>
              </w:rPr>
              <w:t>mund</w:t>
            </w:r>
            <w:r w:rsidR="00EE294E">
              <w:rPr>
                <w:rFonts w:ascii="Times New Roman" w:hAnsi="Times New Roman" w:cs="Times New Roman"/>
                <w:bCs/>
                <w:color w:val="000000" w:themeColor="text1"/>
                <w:sz w:val="20"/>
                <w:szCs w:val="20"/>
                <w:lang w:val="en-US"/>
              </w:rPr>
              <w:t>ë</w:t>
            </w:r>
            <w:r w:rsidR="00902238" w:rsidRPr="00EE294E">
              <w:rPr>
                <w:rFonts w:ascii="Times New Roman" w:hAnsi="Times New Roman" w:cs="Times New Roman"/>
                <w:bCs/>
                <w:color w:val="000000" w:themeColor="text1"/>
                <w:sz w:val="20"/>
                <w:szCs w:val="20"/>
                <w:lang w:val="en-US"/>
              </w:rPr>
              <w:t>suar</w:t>
            </w:r>
            <w:proofErr w:type="spellEnd"/>
            <w:r w:rsidR="00902238" w:rsidRPr="00EE294E">
              <w:rPr>
                <w:rFonts w:ascii="Times New Roman" w:hAnsi="Times New Roman" w:cs="Times New Roman"/>
                <w:bCs/>
                <w:color w:val="000000" w:themeColor="text1"/>
                <w:sz w:val="20"/>
                <w:szCs w:val="20"/>
                <w:lang w:val="en-US"/>
              </w:rPr>
              <w:t xml:space="preserve"> </w:t>
            </w:r>
            <w:proofErr w:type="spellStart"/>
            <w:r w:rsidR="00902238" w:rsidRPr="00EE294E">
              <w:rPr>
                <w:rFonts w:ascii="Times New Roman" w:hAnsi="Times New Roman" w:cs="Times New Roman"/>
                <w:sz w:val="20"/>
                <w:szCs w:val="20"/>
                <w:lang w:val="en-US"/>
              </w:rPr>
              <w:t>kontrollin</w:t>
            </w:r>
            <w:proofErr w:type="spellEnd"/>
            <w:r w:rsidR="00902238" w:rsidRPr="00EE294E">
              <w:rPr>
                <w:rFonts w:ascii="Times New Roman" w:hAnsi="Times New Roman" w:cs="Times New Roman"/>
                <w:sz w:val="20"/>
                <w:szCs w:val="20"/>
                <w:lang w:val="en-US"/>
              </w:rPr>
              <w:t xml:space="preserve"> </w:t>
            </w:r>
            <w:proofErr w:type="spellStart"/>
            <w:r w:rsidR="00902238" w:rsidRPr="00EE294E">
              <w:rPr>
                <w:rFonts w:ascii="Times New Roman" w:hAnsi="Times New Roman" w:cs="Times New Roman"/>
                <w:sz w:val="20"/>
                <w:szCs w:val="20"/>
                <w:lang w:val="en-US"/>
              </w:rPr>
              <w:t>mbi</w:t>
            </w:r>
            <w:proofErr w:type="spellEnd"/>
            <w:r w:rsidR="00902238" w:rsidRPr="00EE294E">
              <w:rPr>
                <w:rFonts w:ascii="Times New Roman" w:hAnsi="Times New Roman" w:cs="Times New Roman"/>
                <w:sz w:val="20"/>
                <w:szCs w:val="20"/>
                <w:lang w:val="en-US"/>
              </w:rPr>
              <w:t xml:space="preserve"> </w:t>
            </w:r>
            <w:proofErr w:type="spellStart"/>
            <w:r w:rsidR="00902238" w:rsidRPr="00EE294E">
              <w:rPr>
                <w:rFonts w:ascii="Times New Roman" w:hAnsi="Times New Roman" w:cs="Times New Roman"/>
                <w:sz w:val="20"/>
                <w:szCs w:val="20"/>
                <w:lang w:val="en-US"/>
              </w:rPr>
              <w:t>furnizimet</w:t>
            </w:r>
            <w:proofErr w:type="spellEnd"/>
            <w:r w:rsidR="00902238" w:rsidRPr="00EE294E">
              <w:rPr>
                <w:rFonts w:ascii="Times New Roman" w:hAnsi="Times New Roman" w:cs="Times New Roman"/>
                <w:sz w:val="20"/>
                <w:szCs w:val="20"/>
                <w:lang w:val="en-US"/>
              </w:rPr>
              <w:t xml:space="preserve"> e </w:t>
            </w:r>
            <w:proofErr w:type="spellStart"/>
            <w:r w:rsidR="00902238" w:rsidRPr="00EE294E">
              <w:rPr>
                <w:rFonts w:ascii="Times New Roman" w:hAnsi="Times New Roman" w:cs="Times New Roman"/>
                <w:sz w:val="20"/>
                <w:szCs w:val="20"/>
                <w:lang w:val="en-US"/>
              </w:rPr>
              <w:t>mallrave</w:t>
            </w:r>
            <w:proofErr w:type="spellEnd"/>
            <w:r w:rsidR="00902238" w:rsidRPr="00EE294E">
              <w:rPr>
                <w:rFonts w:ascii="Times New Roman" w:hAnsi="Times New Roman" w:cs="Times New Roman"/>
                <w:sz w:val="20"/>
                <w:szCs w:val="20"/>
                <w:lang w:val="en-US"/>
              </w:rPr>
              <w:t xml:space="preserve"> </w:t>
            </w:r>
            <w:proofErr w:type="spellStart"/>
            <w:r w:rsidR="00902238" w:rsidRPr="00EE294E">
              <w:rPr>
                <w:rFonts w:ascii="Times New Roman" w:hAnsi="Times New Roman" w:cs="Times New Roman"/>
                <w:sz w:val="20"/>
                <w:szCs w:val="20"/>
                <w:lang w:val="en-US"/>
              </w:rPr>
              <w:t>dhe</w:t>
            </w:r>
            <w:proofErr w:type="spellEnd"/>
            <w:r w:rsidR="00902238" w:rsidRPr="00EE294E">
              <w:rPr>
                <w:rFonts w:ascii="Times New Roman" w:hAnsi="Times New Roman" w:cs="Times New Roman"/>
                <w:sz w:val="20"/>
                <w:szCs w:val="20"/>
                <w:lang w:val="en-US"/>
              </w:rPr>
              <w:t xml:space="preserve"> </w:t>
            </w:r>
            <w:proofErr w:type="spellStart"/>
            <w:r w:rsidR="00902238" w:rsidRPr="00EE294E">
              <w:rPr>
                <w:rFonts w:ascii="Times New Roman" w:hAnsi="Times New Roman" w:cs="Times New Roman"/>
                <w:sz w:val="20"/>
                <w:szCs w:val="20"/>
                <w:lang w:val="en-US"/>
              </w:rPr>
              <w:t>shërbimeve</w:t>
            </w:r>
            <w:proofErr w:type="spellEnd"/>
            <w:r w:rsidR="00902238" w:rsidRPr="00EE294E">
              <w:rPr>
                <w:rFonts w:ascii="Times New Roman" w:hAnsi="Times New Roman" w:cs="Times New Roman"/>
                <w:sz w:val="20"/>
                <w:szCs w:val="20"/>
                <w:lang w:val="en-US"/>
              </w:rPr>
              <w:t xml:space="preserve"> me </w:t>
            </w:r>
            <w:proofErr w:type="spellStart"/>
            <w:r w:rsidR="00902238" w:rsidRPr="00EE294E">
              <w:rPr>
                <w:rFonts w:ascii="Times New Roman" w:hAnsi="Times New Roman" w:cs="Times New Roman"/>
                <w:sz w:val="20"/>
                <w:szCs w:val="20"/>
                <w:lang w:val="en-US"/>
              </w:rPr>
              <w:t>qëllim</w:t>
            </w:r>
            <w:proofErr w:type="spellEnd"/>
            <w:r w:rsidR="00902238" w:rsidRPr="00EE294E">
              <w:rPr>
                <w:rFonts w:ascii="Times New Roman" w:hAnsi="Times New Roman" w:cs="Times New Roman"/>
                <w:sz w:val="20"/>
                <w:szCs w:val="20"/>
                <w:lang w:val="en-US"/>
              </w:rPr>
              <w:t xml:space="preserve"> </w:t>
            </w:r>
            <w:proofErr w:type="spellStart"/>
            <w:r w:rsidR="00902238" w:rsidRPr="00EE294E">
              <w:rPr>
                <w:rFonts w:ascii="Times New Roman" w:hAnsi="Times New Roman" w:cs="Times New Roman"/>
                <w:sz w:val="20"/>
                <w:szCs w:val="20"/>
                <w:lang w:val="en-US"/>
              </w:rPr>
              <w:t>arritjen</w:t>
            </w:r>
            <w:proofErr w:type="spellEnd"/>
            <w:r w:rsidR="00902238" w:rsidRPr="00EE294E">
              <w:rPr>
                <w:rFonts w:ascii="Times New Roman" w:hAnsi="Times New Roman" w:cs="Times New Roman"/>
                <w:sz w:val="20"/>
                <w:szCs w:val="20"/>
                <w:lang w:val="en-US"/>
              </w:rPr>
              <w:t xml:space="preserve"> e </w:t>
            </w:r>
            <w:proofErr w:type="spellStart"/>
            <w:r w:rsidR="00902238" w:rsidRPr="00EE294E">
              <w:rPr>
                <w:rFonts w:ascii="Times New Roman" w:hAnsi="Times New Roman" w:cs="Times New Roman"/>
                <w:sz w:val="20"/>
                <w:szCs w:val="20"/>
                <w:lang w:val="en-US"/>
              </w:rPr>
              <w:t>objektivit</w:t>
            </w:r>
            <w:proofErr w:type="spellEnd"/>
            <w:r w:rsidR="00902238" w:rsidRPr="00EE294E">
              <w:rPr>
                <w:rFonts w:ascii="Times New Roman" w:hAnsi="Times New Roman" w:cs="Times New Roman"/>
                <w:sz w:val="20"/>
                <w:szCs w:val="20"/>
                <w:lang w:val="en-US"/>
              </w:rPr>
              <w:t xml:space="preserve"> </w:t>
            </w:r>
            <w:proofErr w:type="spellStart"/>
            <w:r w:rsidR="00902238" w:rsidRPr="00EE294E">
              <w:rPr>
                <w:rFonts w:ascii="Times New Roman" w:hAnsi="Times New Roman" w:cs="Times New Roman"/>
                <w:sz w:val="20"/>
                <w:szCs w:val="20"/>
                <w:lang w:val="en-US"/>
              </w:rPr>
              <w:t>të</w:t>
            </w:r>
            <w:proofErr w:type="spellEnd"/>
            <w:r w:rsidR="00902238" w:rsidRPr="00EE294E">
              <w:rPr>
                <w:rFonts w:ascii="Times New Roman" w:hAnsi="Times New Roman" w:cs="Times New Roman"/>
                <w:sz w:val="20"/>
                <w:szCs w:val="20"/>
                <w:lang w:val="en-US"/>
              </w:rPr>
              <w:t xml:space="preserve"> </w:t>
            </w:r>
            <w:proofErr w:type="spellStart"/>
            <w:r w:rsidR="00902238" w:rsidRPr="00EE294E">
              <w:rPr>
                <w:rFonts w:ascii="Times New Roman" w:hAnsi="Times New Roman" w:cs="Times New Roman"/>
                <w:sz w:val="20"/>
                <w:szCs w:val="20"/>
                <w:lang w:val="en-US"/>
              </w:rPr>
              <w:t>luftimit</w:t>
            </w:r>
            <w:proofErr w:type="spellEnd"/>
            <w:r w:rsidR="00902238" w:rsidRPr="00EE294E">
              <w:rPr>
                <w:rFonts w:ascii="Times New Roman" w:hAnsi="Times New Roman" w:cs="Times New Roman"/>
                <w:sz w:val="20"/>
                <w:szCs w:val="20"/>
                <w:lang w:val="en-US"/>
              </w:rPr>
              <w:t xml:space="preserve"> </w:t>
            </w:r>
            <w:proofErr w:type="spellStart"/>
            <w:r w:rsidR="00902238" w:rsidRPr="00EE294E">
              <w:rPr>
                <w:rFonts w:ascii="Times New Roman" w:hAnsi="Times New Roman" w:cs="Times New Roman"/>
                <w:sz w:val="20"/>
                <w:szCs w:val="20"/>
                <w:lang w:val="en-US"/>
              </w:rPr>
              <w:t>të</w:t>
            </w:r>
            <w:proofErr w:type="spellEnd"/>
            <w:r w:rsidR="00902238" w:rsidRPr="00EE294E">
              <w:rPr>
                <w:rFonts w:ascii="Times New Roman" w:hAnsi="Times New Roman" w:cs="Times New Roman"/>
                <w:sz w:val="20"/>
                <w:szCs w:val="20"/>
                <w:lang w:val="en-US"/>
              </w:rPr>
              <w:t xml:space="preserve"> </w:t>
            </w:r>
            <w:proofErr w:type="spellStart"/>
            <w:r w:rsidR="00902238" w:rsidRPr="00EE294E">
              <w:rPr>
                <w:rFonts w:ascii="Times New Roman" w:hAnsi="Times New Roman" w:cs="Times New Roman"/>
                <w:sz w:val="20"/>
                <w:szCs w:val="20"/>
                <w:lang w:val="en-US"/>
              </w:rPr>
              <w:t>mashtrimit</w:t>
            </w:r>
            <w:proofErr w:type="spellEnd"/>
            <w:r w:rsidR="00902238" w:rsidRPr="00EE294E">
              <w:rPr>
                <w:rFonts w:ascii="Times New Roman" w:hAnsi="Times New Roman" w:cs="Times New Roman"/>
                <w:sz w:val="20"/>
                <w:szCs w:val="20"/>
                <w:lang w:val="en-US"/>
              </w:rPr>
              <w:t xml:space="preserve"> me TVSH</w:t>
            </w:r>
            <w:r w:rsidRPr="00EE294E">
              <w:rPr>
                <w:rFonts w:ascii="Times New Roman" w:eastAsia="Calibri" w:hAnsi="Times New Roman" w:cs="Times New Roman"/>
                <w:sz w:val="20"/>
                <w:szCs w:val="20"/>
              </w:rPr>
              <w:t xml:space="preserve"> mbi pagesat ndërkufitare, vendndodhja e paguesit konsiderohet të jetë në Shtetin Anëtar që i korrespondon:</w:t>
            </w:r>
          </w:p>
          <w:p w14:paraId="1588627E" w14:textId="77777777" w:rsidR="003C3D4C" w:rsidRPr="00EE294E" w:rsidRDefault="003C3D4C" w:rsidP="003C3D4C">
            <w:pPr>
              <w:jc w:val="both"/>
              <w:rPr>
                <w:rFonts w:ascii="Times New Roman" w:eastAsia="Calibri" w:hAnsi="Times New Roman" w:cs="Times New Roman"/>
                <w:sz w:val="20"/>
                <w:szCs w:val="20"/>
              </w:rPr>
            </w:pPr>
          </w:p>
          <w:p w14:paraId="2C3733E5" w14:textId="77777777" w:rsidR="003C3D4C" w:rsidRPr="00EE294E" w:rsidRDefault="003C3D4C" w:rsidP="003C3D4C">
            <w:pPr>
              <w:jc w:val="both"/>
              <w:rPr>
                <w:rFonts w:ascii="Times New Roman" w:eastAsia="Calibri" w:hAnsi="Times New Roman" w:cs="Times New Roman"/>
                <w:sz w:val="20"/>
                <w:szCs w:val="20"/>
              </w:rPr>
            </w:pPr>
            <w:r w:rsidRPr="00EE294E">
              <w:rPr>
                <w:rFonts w:ascii="Times New Roman" w:eastAsia="Calibri" w:hAnsi="Times New Roman" w:cs="Times New Roman"/>
                <w:sz w:val="20"/>
                <w:szCs w:val="20"/>
              </w:rPr>
              <w:lastRenderedPageBreak/>
              <w:t>a) IBAN-i i llogarisë së pagesave të paguesit ose çdo identifikues tjetër unik që në mënyrë të qartë identifikon dhe tregon vendndodhjen e paguesit, ose në mungesë të identifikuesve të tillë;</w:t>
            </w:r>
          </w:p>
          <w:p w14:paraId="5CCEB3E7" w14:textId="77777777" w:rsidR="003C3D4C" w:rsidRPr="00EE294E" w:rsidRDefault="003C3D4C" w:rsidP="003C3D4C">
            <w:pPr>
              <w:jc w:val="both"/>
              <w:rPr>
                <w:rFonts w:ascii="Times New Roman" w:eastAsia="Calibri" w:hAnsi="Times New Roman" w:cs="Times New Roman"/>
                <w:sz w:val="20"/>
                <w:szCs w:val="20"/>
              </w:rPr>
            </w:pPr>
          </w:p>
          <w:p w14:paraId="00D88B59" w14:textId="77777777" w:rsidR="003C3D4C" w:rsidRPr="00EE294E" w:rsidRDefault="003C3D4C" w:rsidP="003C3D4C">
            <w:pPr>
              <w:jc w:val="both"/>
              <w:rPr>
                <w:rFonts w:ascii="Times New Roman" w:eastAsia="Calibri" w:hAnsi="Times New Roman" w:cs="Times New Roman"/>
                <w:sz w:val="20"/>
                <w:szCs w:val="20"/>
              </w:rPr>
            </w:pPr>
            <w:r w:rsidRPr="00EE294E">
              <w:rPr>
                <w:rFonts w:ascii="Times New Roman" w:eastAsia="Calibri" w:hAnsi="Times New Roman" w:cs="Times New Roman"/>
                <w:sz w:val="20"/>
                <w:szCs w:val="20"/>
              </w:rPr>
              <w:t xml:space="preserve">b), BIC-i ose çdo kod tjetër identifikues të biznesit që në mënyrë të qartë identifikon dhe tregon vendodhjen e ofruesit të shërbimit të pagesës që vepron në emër të paguesit. </w:t>
            </w:r>
          </w:p>
          <w:p w14:paraId="0E66946D" w14:textId="77777777" w:rsidR="003C3D4C" w:rsidRPr="00EE294E" w:rsidRDefault="003C3D4C" w:rsidP="003C3D4C">
            <w:pPr>
              <w:jc w:val="both"/>
              <w:rPr>
                <w:rFonts w:ascii="Times New Roman" w:eastAsia="Calibri" w:hAnsi="Times New Roman" w:cs="Times New Roman"/>
                <w:sz w:val="20"/>
                <w:szCs w:val="20"/>
              </w:rPr>
            </w:pPr>
          </w:p>
          <w:p w14:paraId="1058CAD4" w14:textId="3CB18FAB" w:rsidR="003C3D4C" w:rsidRPr="00EE294E" w:rsidRDefault="003C3D4C" w:rsidP="003C3D4C">
            <w:pPr>
              <w:jc w:val="both"/>
              <w:rPr>
                <w:rFonts w:ascii="Times New Roman" w:eastAsia="Calibri" w:hAnsi="Times New Roman" w:cs="Times New Roman"/>
                <w:sz w:val="20"/>
                <w:szCs w:val="20"/>
              </w:rPr>
            </w:pPr>
            <w:r w:rsidRPr="00EE294E">
              <w:rPr>
                <w:rFonts w:ascii="Times New Roman" w:eastAsia="Calibri" w:hAnsi="Times New Roman" w:cs="Times New Roman"/>
                <w:sz w:val="20"/>
                <w:szCs w:val="20"/>
              </w:rPr>
              <w:t>2.</w:t>
            </w:r>
            <w:r w:rsidRPr="00EE294E">
              <w:rPr>
                <w:rFonts w:ascii="Times New Roman" w:eastAsia="Calibri" w:hAnsi="Times New Roman" w:cs="Times New Roman"/>
                <w:sz w:val="20"/>
                <w:szCs w:val="20"/>
              </w:rPr>
              <w:tab/>
              <w:t>Për qëllime të njëjta, siç përcaktohet në pikën 1</w:t>
            </w:r>
            <w:r w:rsidR="009A70F7" w:rsidRPr="00EE294E">
              <w:rPr>
                <w:rFonts w:ascii="Times New Roman" w:eastAsia="Calibri" w:hAnsi="Times New Roman" w:cs="Times New Roman"/>
                <w:sz w:val="20"/>
                <w:szCs w:val="20"/>
              </w:rPr>
              <w:t xml:space="preserve"> të këtij neni</w:t>
            </w:r>
            <w:r w:rsidRPr="00EE294E">
              <w:rPr>
                <w:rFonts w:ascii="Times New Roman" w:eastAsia="Calibri" w:hAnsi="Times New Roman" w:cs="Times New Roman"/>
                <w:sz w:val="20"/>
                <w:szCs w:val="20"/>
              </w:rPr>
              <w:t>, vendndodhja e përfituesit të pagesës konsiderohet  të jetë Shteti Anëtar, territori i tretë ose vendi i tretë, që i korrespondon:</w:t>
            </w:r>
          </w:p>
          <w:p w14:paraId="3969F2F5" w14:textId="77777777" w:rsidR="003C3D4C" w:rsidRPr="00EE294E" w:rsidRDefault="003C3D4C" w:rsidP="003C3D4C">
            <w:pPr>
              <w:jc w:val="both"/>
              <w:rPr>
                <w:rFonts w:ascii="Times New Roman" w:eastAsia="Calibri" w:hAnsi="Times New Roman" w:cs="Times New Roman"/>
                <w:sz w:val="20"/>
                <w:szCs w:val="20"/>
              </w:rPr>
            </w:pPr>
          </w:p>
          <w:p w14:paraId="309A6B39" w14:textId="77777777" w:rsidR="003C3D4C" w:rsidRPr="00EE294E" w:rsidRDefault="003C3D4C" w:rsidP="003C3D4C">
            <w:pPr>
              <w:jc w:val="both"/>
              <w:rPr>
                <w:rFonts w:ascii="Times New Roman" w:eastAsia="Calibri" w:hAnsi="Times New Roman" w:cs="Times New Roman"/>
                <w:sz w:val="20"/>
                <w:szCs w:val="20"/>
              </w:rPr>
            </w:pPr>
            <w:r w:rsidRPr="00EE294E">
              <w:rPr>
                <w:rFonts w:ascii="Times New Roman" w:eastAsia="Calibri" w:hAnsi="Times New Roman" w:cs="Times New Roman"/>
                <w:sz w:val="20"/>
                <w:szCs w:val="20"/>
              </w:rPr>
              <w:t>a) IBAN-i i llogarisë së pagesës së përfituesit të pagesës ose çdo identifikues tjetër unik që në mënyrë të qartë identifikon dhe tregon vendndodhjen e përfituesit të pagesës ose në mungesë të identifikuesve të tillë;</w:t>
            </w:r>
          </w:p>
          <w:p w14:paraId="2F102D25" w14:textId="77777777" w:rsidR="003C3D4C" w:rsidRPr="00EE294E" w:rsidRDefault="003C3D4C" w:rsidP="003C3D4C">
            <w:pPr>
              <w:jc w:val="both"/>
              <w:rPr>
                <w:rFonts w:ascii="Times New Roman" w:eastAsia="Calibri" w:hAnsi="Times New Roman" w:cs="Times New Roman"/>
                <w:sz w:val="20"/>
                <w:szCs w:val="20"/>
              </w:rPr>
            </w:pPr>
          </w:p>
          <w:p w14:paraId="789B86DE" w14:textId="4172D7C2" w:rsidR="003C3D4C" w:rsidRPr="00EE294E" w:rsidRDefault="003C3D4C" w:rsidP="003C3D4C">
            <w:pPr>
              <w:jc w:val="both"/>
              <w:rPr>
                <w:rFonts w:ascii="Times New Roman" w:eastAsia="Calibri" w:hAnsi="Times New Roman" w:cs="Times New Roman"/>
                <w:sz w:val="20"/>
                <w:szCs w:val="20"/>
              </w:rPr>
            </w:pPr>
            <w:r w:rsidRPr="00EE294E">
              <w:rPr>
                <w:rFonts w:ascii="Times New Roman" w:eastAsia="Calibri" w:hAnsi="Times New Roman" w:cs="Times New Roman"/>
                <w:sz w:val="20"/>
                <w:szCs w:val="20"/>
              </w:rPr>
              <w:t>b) BIC-i ose çdo kod tjetër identifikues biznesi që në mënyrëë të qartë  identifikon dhe tregon vendndodhjen e ofruesit të shërbim</w:t>
            </w:r>
            <w:r w:rsidR="009A70F7" w:rsidRPr="00EE294E">
              <w:rPr>
                <w:rFonts w:ascii="Times New Roman" w:eastAsia="Calibri" w:hAnsi="Times New Roman" w:cs="Times New Roman"/>
                <w:sz w:val="20"/>
                <w:szCs w:val="20"/>
              </w:rPr>
              <w:t>eve</w:t>
            </w:r>
            <w:r w:rsidRPr="00EE294E">
              <w:rPr>
                <w:rFonts w:ascii="Times New Roman" w:eastAsia="Calibri" w:hAnsi="Times New Roman" w:cs="Times New Roman"/>
                <w:sz w:val="20"/>
                <w:szCs w:val="20"/>
              </w:rPr>
              <w:t xml:space="preserve"> të </w:t>
            </w:r>
            <w:r w:rsidR="009A70F7" w:rsidRPr="00EE294E">
              <w:rPr>
                <w:rFonts w:ascii="Times New Roman" w:eastAsia="Calibri" w:hAnsi="Times New Roman" w:cs="Times New Roman"/>
                <w:sz w:val="20"/>
                <w:szCs w:val="20"/>
              </w:rPr>
              <w:t xml:space="preserve">pagesave </w:t>
            </w:r>
            <w:r w:rsidRPr="00EE294E">
              <w:rPr>
                <w:rFonts w:ascii="Times New Roman" w:eastAsia="Calibri" w:hAnsi="Times New Roman" w:cs="Times New Roman"/>
                <w:sz w:val="20"/>
                <w:szCs w:val="20"/>
              </w:rPr>
              <w:t>që vepron në emër të përfituesit të pagesës.</w:t>
            </w:r>
          </w:p>
          <w:p w14:paraId="5D1D16DC" w14:textId="278641C2" w:rsidR="00CC70E1" w:rsidRPr="00EE294E" w:rsidRDefault="00CC70E1">
            <w:pPr>
              <w:jc w:val="both"/>
              <w:rPr>
                <w:rFonts w:ascii="Times New Roman" w:eastAsia="Calibri" w:hAnsi="Times New Roman" w:cs="Times New Roman"/>
                <w:sz w:val="20"/>
                <w:szCs w:val="20"/>
              </w:rPr>
            </w:pPr>
          </w:p>
        </w:tc>
        <w:tc>
          <w:tcPr>
            <w:tcW w:w="720" w:type="dxa"/>
          </w:tcPr>
          <w:p w14:paraId="4002CF3D" w14:textId="377307C9" w:rsidR="003C045B" w:rsidRPr="00EE294E" w:rsidRDefault="003C045B" w:rsidP="003C045B">
            <w:pPr>
              <w:jc w:val="center"/>
              <w:rPr>
                <w:rFonts w:ascii="Times New Roman" w:eastAsia="Calibri" w:hAnsi="Times New Roman" w:cs="Times New Roman"/>
                <w:sz w:val="20"/>
                <w:szCs w:val="20"/>
                <w:lang w:val="en-US"/>
              </w:rPr>
            </w:pPr>
            <w:r w:rsidRPr="00EE294E">
              <w:rPr>
                <w:rFonts w:ascii="Times New Roman" w:eastAsia="Calibri" w:hAnsi="Times New Roman" w:cs="Times New Roman"/>
                <w:sz w:val="20"/>
                <w:szCs w:val="20"/>
                <w:lang w:val="en-US"/>
              </w:rPr>
              <w:lastRenderedPageBreak/>
              <w:t>F</w:t>
            </w:r>
          </w:p>
        </w:tc>
        <w:tc>
          <w:tcPr>
            <w:tcW w:w="3510" w:type="dxa"/>
          </w:tcPr>
          <w:p w14:paraId="37DF1BDF" w14:textId="77777777" w:rsidR="0009621F" w:rsidRPr="00EE294E" w:rsidRDefault="0009621F" w:rsidP="00EE294E">
            <w:pPr>
              <w:jc w:val="both"/>
              <w:rPr>
                <w:rFonts w:ascii="Times New Roman" w:eastAsia="Times New Roman" w:hAnsi="Times New Roman" w:cs="Times New Roman"/>
                <w:sz w:val="20"/>
                <w:szCs w:val="20"/>
              </w:rPr>
            </w:pPr>
            <w:r w:rsidRPr="00EE294E">
              <w:rPr>
                <w:rFonts w:ascii="Times New Roman" w:eastAsia="Times New Roman" w:hAnsi="Times New Roman" w:cs="Times New Roman"/>
                <w:sz w:val="20"/>
                <w:szCs w:val="20"/>
              </w:rPr>
              <w:t>Në përputhje.</w:t>
            </w:r>
          </w:p>
          <w:p w14:paraId="5F15775D" w14:textId="77777777" w:rsidR="0009621F" w:rsidRPr="00EE294E" w:rsidRDefault="0009621F" w:rsidP="00EE294E">
            <w:pPr>
              <w:jc w:val="both"/>
              <w:rPr>
                <w:rFonts w:ascii="Times New Roman" w:eastAsia="Times New Roman" w:hAnsi="Times New Roman" w:cs="Times New Roman"/>
                <w:sz w:val="20"/>
                <w:szCs w:val="20"/>
              </w:rPr>
            </w:pPr>
          </w:p>
          <w:p w14:paraId="79478D12" w14:textId="77777777" w:rsidR="0009621F" w:rsidRPr="00EE294E" w:rsidRDefault="003C045B" w:rsidP="00EE294E">
            <w:pPr>
              <w:jc w:val="both"/>
              <w:rPr>
                <w:rFonts w:ascii="Times New Roman" w:eastAsia="Times New Roman" w:hAnsi="Times New Roman" w:cs="Times New Roman"/>
                <w:sz w:val="20"/>
                <w:szCs w:val="20"/>
              </w:rPr>
            </w:pPr>
            <w:r w:rsidRPr="00EE294E">
              <w:rPr>
                <w:rFonts w:ascii="Times New Roman" w:eastAsia="Times New Roman" w:hAnsi="Times New Roman" w:cs="Times New Roman"/>
                <w:sz w:val="20"/>
                <w:szCs w:val="20"/>
              </w:rPr>
              <w:t xml:space="preserve">Neni 8 përputhet plotësisht me nenet 243c dhe parimet e BE-së për përcaktimin e vendndodhjes së palëve në një transaksion, pasi vendndodhja e paguesit dhe përfituesit identifikohet </w:t>
            </w:r>
            <w:r w:rsidRPr="00EE294E">
              <w:rPr>
                <w:rFonts w:ascii="Times New Roman" w:eastAsia="Times New Roman" w:hAnsi="Times New Roman" w:cs="Times New Roman"/>
                <w:sz w:val="20"/>
                <w:szCs w:val="20"/>
              </w:rPr>
              <w:lastRenderedPageBreak/>
              <w:t>kryesisht përmes IBAN-it ose çdo identifikuesi unik të llogarisë dhe, në mungesë të tyre, përmes BIC-ut ose identifikuesit të ofruesit të shërbimit të pagesave.</w:t>
            </w:r>
          </w:p>
          <w:p w14:paraId="119A62D4" w14:textId="77777777" w:rsidR="0009621F" w:rsidRPr="00EE294E" w:rsidRDefault="0009621F" w:rsidP="00EE294E">
            <w:pPr>
              <w:jc w:val="both"/>
              <w:rPr>
                <w:rFonts w:ascii="Times New Roman" w:eastAsia="Times New Roman" w:hAnsi="Times New Roman" w:cs="Times New Roman"/>
                <w:sz w:val="20"/>
                <w:szCs w:val="20"/>
              </w:rPr>
            </w:pPr>
          </w:p>
          <w:p w14:paraId="46D529E2" w14:textId="301786C8" w:rsidR="003C045B" w:rsidRPr="00EE294E" w:rsidRDefault="003C045B" w:rsidP="00EE294E">
            <w:pPr>
              <w:jc w:val="both"/>
              <w:rPr>
                <w:rFonts w:ascii="Times New Roman" w:eastAsia="Calibri" w:hAnsi="Times New Roman" w:cs="Times New Roman"/>
                <w:sz w:val="20"/>
                <w:szCs w:val="20"/>
              </w:rPr>
            </w:pPr>
            <w:r w:rsidRPr="00EE294E">
              <w:rPr>
                <w:rFonts w:ascii="Times New Roman" w:eastAsia="Times New Roman" w:hAnsi="Times New Roman" w:cs="Times New Roman"/>
                <w:sz w:val="20"/>
                <w:szCs w:val="20"/>
              </w:rPr>
              <w:t>Ky mekanizëm siguron qartësi dhe saktësi të informacionit, duke përmbushur kërkesat e direktivave CESOP dhe PSD2 për raportimin e pagesave ndërkufitare.</w:t>
            </w:r>
          </w:p>
        </w:tc>
      </w:tr>
      <w:tr w:rsidR="003C045B" w:rsidRPr="00EE294E" w14:paraId="1DCD5C89" w14:textId="77777777" w:rsidTr="007022FA">
        <w:trPr>
          <w:trHeight w:val="674"/>
        </w:trPr>
        <w:tc>
          <w:tcPr>
            <w:tcW w:w="540" w:type="dxa"/>
            <w:shd w:val="clear" w:color="auto" w:fill="D0CECE" w:themeFill="background2" w:themeFillShade="E6"/>
          </w:tcPr>
          <w:p w14:paraId="7B43BA42" w14:textId="7778594C" w:rsidR="003C045B" w:rsidRPr="00EE294E" w:rsidRDefault="003C045B" w:rsidP="003C045B">
            <w:pPr>
              <w:jc w:val="center"/>
              <w:rPr>
                <w:rFonts w:ascii="Times New Roman" w:eastAsia="Calibri" w:hAnsi="Times New Roman" w:cs="Times New Roman"/>
                <w:i/>
                <w:iCs/>
                <w:sz w:val="20"/>
                <w:szCs w:val="20"/>
              </w:rPr>
            </w:pPr>
          </w:p>
        </w:tc>
        <w:tc>
          <w:tcPr>
            <w:tcW w:w="5400" w:type="dxa"/>
            <w:shd w:val="clear" w:color="auto" w:fill="D0CECE" w:themeFill="background2" w:themeFillShade="E6"/>
          </w:tcPr>
          <w:p w14:paraId="1B89D23B" w14:textId="55940AAF" w:rsidR="003C045B" w:rsidRPr="00EE294E" w:rsidRDefault="003C045B" w:rsidP="003C045B">
            <w:pPr>
              <w:jc w:val="center"/>
              <w:rPr>
                <w:rFonts w:ascii="Times New Roman" w:eastAsia="Times New Roman" w:hAnsi="Times New Roman" w:cs="Times New Roman"/>
                <w:i/>
                <w:iCs/>
                <w:color w:val="333333"/>
                <w:sz w:val="20"/>
                <w:szCs w:val="20"/>
              </w:rPr>
            </w:pPr>
            <w:r w:rsidRPr="00EE294E">
              <w:rPr>
                <w:rFonts w:ascii="Times New Roman" w:eastAsia="Times New Roman" w:hAnsi="Times New Roman" w:cs="Times New Roman"/>
                <w:i/>
                <w:iCs/>
                <w:color w:val="333333"/>
                <w:sz w:val="20"/>
                <w:szCs w:val="20"/>
              </w:rPr>
              <w:t>Neni 243b</w:t>
            </w:r>
          </w:p>
          <w:p w14:paraId="178F6F8C" w14:textId="54771548" w:rsidR="003C045B" w:rsidRPr="00EE294E" w:rsidRDefault="003C045B" w:rsidP="003C045B">
            <w:pPr>
              <w:jc w:val="center"/>
              <w:rPr>
                <w:rFonts w:ascii="Times New Roman" w:eastAsia="Calibri" w:hAnsi="Times New Roman" w:cs="Times New Roman"/>
                <w:i/>
                <w:iCs/>
                <w:sz w:val="20"/>
                <w:szCs w:val="20"/>
                <w:lang w:val="en-US"/>
              </w:rPr>
            </w:pPr>
          </w:p>
        </w:tc>
        <w:tc>
          <w:tcPr>
            <w:tcW w:w="450" w:type="dxa"/>
            <w:shd w:val="clear" w:color="auto" w:fill="D0CECE" w:themeFill="background2" w:themeFillShade="E6"/>
          </w:tcPr>
          <w:p w14:paraId="3947385F" w14:textId="3B8E12E1" w:rsidR="003C045B" w:rsidRPr="00EE294E" w:rsidRDefault="003C045B" w:rsidP="003C045B">
            <w:pPr>
              <w:jc w:val="center"/>
              <w:rPr>
                <w:rFonts w:ascii="Times New Roman" w:eastAsia="Calibri" w:hAnsi="Times New Roman" w:cs="Times New Roman"/>
                <w:i/>
                <w:iCs/>
                <w:sz w:val="20"/>
                <w:szCs w:val="20"/>
              </w:rPr>
            </w:pPr>
          </w:p>
        </w:tc>
        <w:tc>
          <w:tcPr>
            <w:tcW w:w="644" w:type="dxa"/>
            <w:shd w:val="clear" w:color="auto" w:fill="D0CECE" w:themeFill="background2" w:themeFillShade="E6"/>
          </w:tcPr>
          <w:p w14:paraId="2AEEFB19" w14:textId="78CBBFE8" w:rsidR="003C045B" w:rsidRPr="00EE294E" w:rsidRDefault="003C045B" w:rsidP="003C045B">
            <w:pPr>
              <w:jc w:val="center"/>
              <w:rPr>
                <w:rFonts w:ascii="Times New Roman" w:eastAsia="Calibri" w:hAnsi="Times New Roman" w:cs="Times New Roman"/>
                <w:i/>
                <w:iCs/>
                <w:sz w:val="20"/>
                <w:szCs w:val="20"/>
                <w:lang w:val="en-US"/>
              </w:rPr>
            </w:pPr>
          </w:p>
        </w:tc>
        <w:tc>
          <w:tcPr>
            <w:tcW w:w="5040" w:type="dxa"/>
            <w:shd w:val="clear" w:color="auto" w:fill="D0CECE" w:themeFill="background2" w:themeFillShade="E6"/>
          </w:tcPr>
          <w:p w14:paraId="734C3FA5" w14:textId="60C6C896" w:rsidR="003C3D4C" w:rsidRPr="00EE294E" w:rsidRDefault="003C3D4C" w:rsidP="003C3D4C">
            <w:pPr>
              <w:jc w:val="center"/>
              <w:rPr>
                <w:rFonts w:ascii="Times New Roman" w:eastAsia="Times New Roman" w:hAnsi="Times New Roman" w:cs="Times New Roman"/>
                <w:b/>
                <w:bCs/>
                <w:sz w:val="20"/>
                <w:szCs w:val="20"/>
              </w:rPr>
            </w:pPr>
            <w:r w:rsidRPr="00EE294E">
              <w:rPr>
                <w:rFonts w:ascii="Times New Roman" w:eastAsia="Times New Roman" w:hAnsi="Times New Roman" w:cs="Times New Roman"/>
                <w:b/>
                <w:bCs/>
                <w:sz w:val="20"/>
                <w:szCs w:val="20"/>
              </w:rPr>
              <w:t>Neni 9</w:t>
            </w:r>
          </w:p>
          <w:p w14:paraId="368A282A" w14:textId="4F328936" w:rsidR="003C045B" w:rsidRPr="00EE294E" w:rsidRDefault="003C3D4C" w:rsidP="003C3D4C">
            <w:pPr>
              <w:jc w:val="center"/>
              <w:rPr>
                <w:rFonts w:ascii="Times New Roman" w:eastAsia="Times New Roman" w:hAnsi="Times New Roman" w:cs="Times New Roman"/>
                <w:i/>
                <w:iCs/>
                <w:sz w:val="20"/>
                <w:szCs w:val="20"/>
              </w:rPr>
            </w:pPr>
            <w:r w:rsidRPr="00EE294E">
              <w:rPr>
                <w:rFonts w:ascii="Times New Roman" w:eastAsia="Times New Roman" w:hAnsi="Times New Roman" w:cs="Times New Roman"/>
                <w:b/>
                <w:bCs/>
                <w:sz w:val="20"/>
                <w:szCs w:val="20"/>
              </w:rPr>
              <w:t>Detyrimet e ofruesve të shërbimeve të pagesës për raportimin</w:t>
            </w:r>
          </w:p>
        </w:tc>
        <w:tc>
          <w:tcPr>
            <w:tcW w:w="720" w:type="dxa"/>
            <w:shd w:val="clear" w:color="auto" w:fill="D0CECE" w:themeFill="background2" w:themeFillShade="E6"/>
          </w:tcPr>
          <w:p w14:paraId="6D33AE71" w14:textId="29231BD5" w:rsidR="003C045B" w:rsidRPr="00EE294E" w:rsidRDefault="003C045B" w:rsidP="003C045B">
            <w:pPr>
              <w:jc w:val="center"/>
              <w:rPr>
                <w:rFonts w:ascii="Times New Roman" w:eastAsia="Calibri" w:hAnsi="Times New Roman" w:cs="Times New Roman"/>
                <w:sz w:val="20"/>
                <w:szCs w:val="20"/>
                <w:highlight w:val="cyan"/>
                <w:lang w:val="en-US"/>
              </w:rPr>
            </w:pPr>
          </w:p>
        </w:tc>
        <w:tc>
          <w:tcPr>
            <w:tcW w:w="3510" w:type="dxa"/>
            <w:shd w:val="clear" w:color="auto" w:fill="D0CECE" w:themeFill="background2" w:themeFillShade="E6"/>
          </w:tcPr>
          <w:p w14:paraId="72B8276C" w14:textId="77777777" w:rsidR="003C045B" w:rsidRPr="00EE294E" w:rsidRDefault="003C045B" w:rsidP="003C045B">
            <w:pPr>
              <w:rPr>
                <w:rFonts w:ascii="Times New Roman" w:eastAsia="Calibri" w:hAnsi="Times New Roman" w:cs="Times New Roman"/>
                <w:sz w:val="20"/>
                <w:szCs w:val="20"/>
                <w:lang w:val="en-US"/>
              </w:rPr>
            </w:pPr>
          </w:p>
        </w:tc>
      </w:tr>
      <w:tr w:rsidR="003C045B" w:rsidRPr="00EE294E" w14:paraId="66A7F41F" w14:textId="77777777" w:rsidTr="004738EE">
        <w:tc>
          <w:tcPr>
            <w:tcW w:w="540" w:type="dxa"/>
          </w:tcPr>
          <w:p w14:paraId="6A63C8D0" w14:textId="0731A2C6" w:rsidR="003C045B" w:rsidRPr="00EE294E" w:rsidRDefault="003C045B" w:rsidP="003C045B">
            <w:pPr>
              <w:jc w:val="both"/>
              <w:rPr>
                <w:rFonts w:ascii="Times New Roman" w:eastAsia="Calibri" w:hAnsi="Times New Roman" w:cs="Times New Roman"/>
                <w:sz w:val="20"/>
                <w:szCs w:val="20"/>
                <w:lang w:val="en-US"/>
              </w:rPr>
            </w:pPr>
          </w:p>
        </w:tc>
        <w:tc>
          <w:tcPr>
            <w:tcW w:w="5400" w:type="dxa"/>
          </w:tcPr>
          <w:p w14:paraId="0ED01144" w14:textId="77777777" w:rsidR="003C045B" w:rsidRPr="00EE294E" w:rsidRDefault="003C045B" w:rsidP="003C045B">
            <w:pPr>
              <w:pStyle w:val="oj-normal"/>
              <w:shd w:val="clear" w:color="auto" w:fill="FFFFFF"/>
              <w:spacing w:before="120" w:beforeAutospacing="0" w:after="0" w:afterAutospacing="0"/>
              <w:jc w:val="both"/>
              <w:rPr>
                <w:color w:val="333333"/>
                <w:sz w:val="20"/>
                <w:szCs w:val="20"/>
              </w:rPr>
            </w:pPr>
            <w:r w:rsidRPr="00EE294E">
              <w:rPr>
                <w:color w:val="333333"/>
                <w:sz w:val="20"/>
                <w:szCs w:val="20"/>
              </w:rPr>
              <w:t xml:space="preserve">1. Shtetet Anëtare u kërkojnë ofruesve të shërbimeve të pagesave të mbajnë të dhëna mjaftueshëm të detajuara të përfituesve dhe të pagesave në lidhje me shërbimet e pagesave që ofrojnë për çdo tremujor kalendarik, në mënyrë që autoritetet kompetente të Shteteve Anëtare të kryejnë kontrolle të furnizimeve të mallrave dhe shërbimeve të cilat, në përputhje me dispozitat e Titullit V, </w:t>
            </w:r>
            <w:r w:rsidRPr="00EE294E">
              <w:rPr>
                <w:color w:val="333333"/>
                <w:sz w:val="20"/>
                <w:szCs w:val="20"/>
              </w:rPr>
              <w:lastRenderedPageBreak/>
              <w:t>konsiderohen se ndodhin në një Shtet Anëtar, me qëllim arritjen e objektivit të luftimit të mashtrimit me TVSH-në.</w:t>
            </w:r>
          </w:p>
          <w:p w14:paraId="5F330A35" w14:textId="77777777" w:rsidR="003C045B" w:rsidRPr="00EE294E" w:rsidRDefault="003C045B" w:rsidP="003C045B">
            <w:pPr>
              <w:pStyle w:val="oj-normal"/>
              <w:shd w:val="clear" w:color="auto" w:fill="FFFFFF"/>
              <w:spacing w:before="120" w:beforeAutospacing="0" w:after="0" w:afterAutospacing="0"/>
              <w:jc w:val="both"/>
              <w:rPr>
                <w:color w:val="333333"/>
                <w:sz w:val="20"/>
                <w:szCs w:val="20"/>
              </w:rPr>
            </w:pPr>
            <w:r w:rsidRPr="00EE294E">
              <w:rPr>
                <w:color w:val="333333"/>
                <w:sz w:val="20"/>
                <w:szCs w:val="20"/>
              </w:rPr>
              <w:t>Kërkesa e përmendur në nënparagrafin e parë zbatohet vetëm për shërbimet e pagesave të ofruara në lidhje me pagesat ndërkufitare. Një pagesë konsiderohet pagesë ndërkufitare kur paguesi ndodhet në një Shtet Anëtar dhe përfituesi ndodhet në një Shtet tjetër Anëtar, në një territor të tretë ose në një vend të tretë.</w:t>
            </w:r>
          </w:p>
          <w:p w14:paraId="441B8F69" w14:textId="77777777" w:rsidR="003C045B" w:rsidRPr="00EE294E" w:rsidRDefault="003C045B" w:rsidP="003C045B">
            <w:pPr>
              <w:pStyle w:val="oj-normal"/>
              <w:shd w:val="clear" w:color="auto" w:fill="FFFFFF"/>
              <w:spacing w:before="120" w:beforeAutospacing="0" w:after="0" w:afterAutospacing="0"/>
              <w:jc w:val="both"/>
              <w:rPr>
                <w:color w:val="333333"/>
                <w:sz w:val="20"/>
                <w:szCs w:val="20"/>
              </w:rPr>
            </w:pPr>
            <w:r w:rsidRPr="00EE294E">
              <w:rPr>
                <w:color w:val="333333"/>
                <w:sz w:val="20"/>
                <w:szCs w:val="20"/>
              </w:rPr>
              <w:t>2. Kërkesa ndaj të cilës i nënshtrohen ofruesit e shërbimeve të pagesave sipas paragrafit 1 zbatohet kur, gjatë një tremujori kalendarik, një ofrues i shërbimeve të pagesave ofron shërbime pagesash që korrespondojnë me më shumë se 25 pagesa ndërkufitare për të njëjtin përfitues pagese.</w:t>
            </w:r>
          </w:p>
          <w:p w14:paraId="70598828" w14:textId="77777777" w:rsidR="003C045B" w:rsidRPr="00EE294E" w:rsidRDefault="003C045B" w:rsidP="003C045B">
            <w:pPr>
              <w:pStyle w:val="oj-normal"/>
              <w:shd w:val="clear" w:color="auto" w:fill="FFFFFF"/>
              <w:spacing w:before="120" w:beforeAutospacing="0" w:after="0" w:afterAutospacing="0"/>
              <w:jc w:val="both"/>
              <w:rPr>
                <w:color w:val="333333"/>
                <w:sz w:val="20"/>
                <w:szCs w:val="20"/>
              </w:rPr>
            </w:pPr>
            <w:r w:rsidRPr="00EE294E">
              <w:rPr>
                <w:color w:val="333333"/>
                <w:sz w:val="20"/>
                <w:szCs w:val="20"/>
              </w:rPr>
              <w:t>Numri i pagesave ndërkufitare të përmendura në nënparagrafin e parë të këtij paragrafi llogaritet duke iu referuar shërbimeve të pagesave të ofruara nga ofruesi i shërbimit të pagesave për çdo Shtet Anëtar dhe për identifikues, siç përmendet në Nenin 243c(2). Kur ofruesi i shërbimit të pagesave ka informacion se përfituesi ka disa identifikues, llogaritja bëhet për çdo përfitues.</w:t>
            </w:r>
          </w:p>
          <w:p w14:paraId="35C95EA4" w14:textId="77777777" w:rsidR="003C045B" w:rsidRPr="00EE294E" w:rsidRDefault="003C045B" w:rsidP="003C045B">
            <w:pPr>
              <w:pStyle w:val="oj-normal"/>
              <w:shd w:val="clear" w:color="auto" w:fill="FFFFFF"/>
              <w:spacing w:before="120" w:beforeAutospacing="0" w:after="0" w:afterAutospacing="0"/>
              <w:jc w:val="both"/>
              <w:rPr>
                <w:color w:val="333333"/>
                <w:sz w:val="20"/>
                <w:szCs w:val="20"/>
              </w:rPr>
            </w:pPr>
            <w:r w:rsidRPr="00EE294E">
              <w:rPr>
                <w:color w:val="333333"/>
                <w:sz w:val="20"/>
                <w:szCs w:val="20"/>
              </w:rPr>
              <w:t>3. Kërkesa e përcaktuar në paragrafin 1 nuk zbatohet për shërbimet e pagesave të ofruara nga ofruesit e shërbimeve të pagesave të paguesit në lidhje me çdo pagesë ku të paktën njëri nga ofruesit e shërbimeve të pagesave të përfituesit ndodhet në një Shtet Anëtar, siç tregohet nga BIC i atij ofruesi të shërbimit të pagesave ose nga çdo kod tjetër identifikues biznesi që identifikon në mënyrë të qartë ofruesin e shërbimit të pagesave dhe vendndodhjen e tij. Megjithatë, ofruesit e shërbimeve të pagesave të paguesit duhet t'i përfshijnë ato shërbime pagesash në llogaritjen e përmendur në paragrafin 2.</w:t>
            </w:r>
          </w:p>
          <w:p w14:paraId="09409A04" w14:textId="77777777" w:rsidR="003C045B" w:rsidRPr="00EE294E" w:rsidRDefault="003C045B" w:rsidP="003C045B">
            <w:pPr>
              <w:pStyle w:val="oj-normal"/>
              <w:shd w:val="clear" w:color="auto" w:fill="FFFFFF"/>
              <w:spacing w:before="120" w:beforeAutospacing="0" w:after="0" w:afterAutospacing="0"/>
              <w:jc w:val="both"/>
              <w:rPr>
                <w:color w:val="333333"/>
                <w:sz w:val="20"/>
                <w:szCs w:val="20"/>
              </w:rPr>
            </w:pPr>
            <w:r w:rsidRPr="00EE294E">
              <w:rPr>
                <w:color w:val="333333"/>
                <w:sz w:val="20"/>
                <w:szCs w:val="20"/>
              </w:rPr>
              <w:t>4. Kur zbatohet kërkesa për ofruesit e shërbimeve të pagesave e përcaktuar në paragrafin 1, të dhënat duhet:</w:t>
            </w:r>
          </w:p>
          <w:tbl>
            <w:tblPr>
              <w:tblW w:w="5000" w:type="pct"/>
              <w:tblLayout w:type="fixed"/>
              <w:tblCellMar>
                <w:left w:w="0" w:type="dxa"/>
                <w:right w:w="0" w:type="dxa"/>
              </w:tblCellMar>
              <w:tblLook w:val="04A0" w:firstRow="1" w:lastRow="0" w:firstColumn="1" w:lastColumn="0" w:noHBand="0" w:noVBand="1"/>
            </w:tblPr>
            <w:tblGrid>
              <w:gridCol w:w="156"/>
              <w:gridCol w:w="5028"/>
            </w:tblGrid>
            <w:tr w:rsidR="003C045B" w:rsidRPr="00EE294E" w14:paraId="1F084689" w14:textId="77777777" w:rsidTr="001E71E0">
              <w:tc>
                <w:tcPr>
                  <w:tcW w:w="267" w:type="dxa"/>
                  <w:hideMark/>
                </w:tcPr>
                <w:p w14:paraId="0E61362A" w14:textId="77777777" w:rsidR="003C045B" w:rsidRPr="00EE294E" w:rsidRDefault="003C045B" w:rsidP="003C045B">
                  <w:pPr>
                    <w:pStyle w:val="oj-normal"/>
                    <w:spacing w:before="120" w:beforeAutospacing="0" w:after="0" w:afterAutospacing="0"/>
                    <w:jc w:val="both"/>
                    <w:rPr>
                      <w:sz w:val="20"/>
                      <w:szCs w:val="20"/>
                    </w:rPr>
                  </w:pPr>
                  <w:r w:rsidRPr="00EE294E">
                    <w:rPr>
                      <w:sz w:val="20"/>
                      <w:szCs w:val="20"/>
                    </w:rPr>
                    <w:lastRenderedPageBreak/>
                    <w:t>(a)</w:t>
                  </w:r>
                </w:p>
              </w:tc>
              <w:tc>
                <w:tcPr>
                  <w:tcW w:w="9093" w:type="dxa"/>
                  <w:hideMark/>
                </w:tcPr>
                <w:p w14:paraId="4267B144" w14:textId="77777777" w:rsidR="003C045B" w:rsidRPr="00EE294E" w:rsidRDefault="003C045B" w:rsidP="003C045B">
                  <w:pPr>
                    <w:pStyle w:val="oj-normal"/>
                    <w:spacing w:before="120" w:beforeAutospacing="0" w:after="0" w:afterAutospacing="0"/>
                    <w:jc w:val="both"/>
                    <w:rPr>
                      <w:sz w:val="20"/>
                      <w:szCs w:val="20"/>
                    </w:rPr>
                  </w:pPr>
                  <w:r w:rsidRPr="00EE294E">
                    <w:rPr>
                      <w:sz w:val="20"/>
                      <w:szCs w:val="20"/>
                    </w:rPr>
                    <w:t>të ruhet nga ofruesi i shërbimit të pagesave në format elektronik për një periudhë prej tre vitesh kalendarike nga fundi i vitit kalendarik të datës së pagesës;</w:t>
                  </w:r>
                </w:p>
              </w:tc>
            </w:tr>
          </w:tbl>
          <w:p w14:paraId="1B86BE87" w14:textId="77777777" w:rsidR="003C045B" w:rsidRPr="00EE294E" w:rsidRDefault="003C045B" w:rsidP="003C045B">
            <w:pPr>
              <w:shd w:val="clear" w:color="auto" w:fill="FFFFFF"/>
              <w:rPr>
                <w:rFonts w:ascii="Times New Roman" w:hAnsi="Times New Roman" w:cs="Times New Roman"/>
                <w:vanish/>
                <w:color w:val="333333"/>
                <w:sz w:val="20"/>
                <w:szCs w:val="20"/>
              </w:rPr>
            </w:pPr>
          </w:p>
          <w:tbl>
            <w:tblPr>
              <w:tblW w:w="5000" w:type="pct"/>
              <w:tblLayout w:type="fixed"/>
              <w:tblCellMar>
                <w:left w:w="0" w:type="dxa"/>
                <w:right w:w="0" w:type="dxa"/>
              </w:tblCellMar>
              <w:tblLook w:val="04A0" w:firstRow="1" w:lastRow="0" w:firstColumn="1" w:lastColumn="0" w:noHBand="0" w:noVBand="1"/>
            </w:tblPr>
            <w:tblGrid>
              <w:gridCol w:w="164"/>
              <w:gridCol w:w="5020"/>
            </w:tblGrid>
            <w:tr w:rsidR="003C045B" w:rsidRPr="00EE294E" w14:paraId="2F9DBB6B" w14:textId="77777777" w:rsidTr="001E71E0">
              <w:tc>
                <w:tcPr>
                  <w:tcW w:w="280" w:type="dxa"/>
                  <w:hideMark/>
                </w:tcPr>
                <w:p w14:paraId="1B4802D5" w14:textId="77777777" w:rsidR="003C045B" w:rsidRPr="00EE294E" w:rsidRDefault="003C045B" w:rsidP="003C045B">
                  <w:pPr>
                    <w:pStyle w:val="oj-normal"/>
                    <w:spacing w:before="120" w:beforeAutospacing="0" w:after="0" w:afterAutospacing="0"/>
                    <w:jc w:val="both"/>
                    <w:rPr>
                      <w:sz w:val="20"/>
                      <w:szCs w:val="20"/>
                    </w:rPr>
                  </w:pPr>
                  <w:r w:rsidRPr="00EE294E">
                    <w:rPr>
                      <w:sz w:val="20"/>
                      <w:szCs w:val="20"/>
                    </w:rPr>
                    <w:t>(b)</w:t>
                  </w:r>
                </w:p>
              </w:tc>
              <w:tc>
                <w:tcPr>
                  <w:tcW w:w="9080" w:type="dxa"/>
                  <w:hideMark/>
                </w:tcPr>
                <w:p w14:paraId="34A16B4A" w14:textId="77777777" w:rsidR="003C045B" w:rsidRPr="00EE294E" w:rsidRDefault="003C045B" w:rsidP="003C045B">
                  <w:pPr>
                    <w:pStyle w:val="oj-normal"/>
                    <w:spacing w:before="120" w:beforeAutospacing="0" w:after="0" w:afterAutospacing="0"/>
                    <w:jc w:val="both"/>
                    <w:rPr>
                      <w:sz w:val="20"/>
                      <w:szCs w:val="20"/>
                    </w:rPr>
                  </w:pPr>
                  <w:r w:rsidRPr="00EE294E">
                    <w:rPr>
                      <w:sz w:val="20"/>
                      <w:szCs w:val="20"/>
                    </w:rPr>
                    <w:t>të vihen në dispozicion në përputhje me nenin 24b të Rregullores (BE) nr. 904/2010 për Shtetin Anëtar të origjinës së ofruesit të shërbimit të pagesave ose për Shtetet Anëtare pritëse kur ofruesi i shërbimit të pagesave ofron shërbime pagesash në Shtetet Anëtare të tjera përveç Shtetit Anëtar të origjinës.</w:t>
                  </w:r>
                </w:p>
              </w:tc>
            </w:tr>
          </w:tbl>
          <w:p w14:paraId="111BB3A0" w14:textId="1CA95575" w:rsidR="003C045B" w:rsidRPr="00EE294E" w:rsidRDefault="003C045B" w:rsidP="003C045B">
            <w:pPr>
              <w:jc w:val="both"/>
              <w:rPr>
                <w:rFonts w:ascii="Times New Roman" w:eastAsia="Calibri" w:hAnsi="Times New Roman" w:cs="Times New Roman"/>
                <w:iCs/>
                <w:sz w:val="20"/>
                <w:szCs w:val="20"/>
              </w:rPr>
            </w:pPr>
            <w:r w:rsidRPr="00EE294E">
              <w:rPr>
                <w:rFonts w:ascii="Times New Roman" w:eastAsia="Calibri" w:hAnsi="Times New Roman" w:cs="Times New Roman"/>
                <w:iCs/>
                <w:sz w:val="20"/>
                <w:szCs w:val="20"/>
              </w:rPr>
              <w:t xml:space="preserve"> </w:t>
            </w:r>
          </w:p>
        </w:tc>
        <w:tc>
          <w:tcPr>
            <w:tcW w:w="450" w:type="dxa"/>
          </w:tcPr>
          <w:p w14:paraId="4EA9222B" w14:textId="77777777" w:rsidR="003C045B" w:rsidRPr="00EE294E" w:rsidRDefault="003C045B" w:rsidP="003C045B">
            <w:pPr>
              <w:jc w:val="center"/>
              <w:rPr>
                <w:rFonts w:ascii="Times New Roman" w:eastAsia="Calibri" w:hAnsi="Times New Roman" w:cs="Times New Roman"/>
                <w:sz w:val="20"/>
                <w:szCs w:val="20"/>
              </w:rPr>
            </w:pPr>
          </w:p>
        </w:tc>
        <w:tc>
          <w:tcPr>
            <w:tcW w:w="644" w:type="dxa"/>
          </w:tcPr>
          <w:p w14:paraId="574212AB" w14:textId="0D6D0811" w:rsidR="003C045B" w:rsidRPr="00EE294E" w:rsidRDefault="003D7B59" w:rsidP="003C045B">
            <w:pPr>
              <w:jc w:val="center"/>
              <w:rPr>
                <w:rFonts w:ascii="Times New Roman" w:eastAsia="Calibri" w:hAnsi="Times New Roman" w:cs="Times New Roman"/>
                <w:sz w:val="20"/>
                <w:szCs w:val="20"/>
                <w:lang w:val="en-US"/>
              </w:rPr>
            </w:pPr>
            <w:r w:rsidRPr="00EE294E">
              <w:rPr>
                <w:rFonts w:ascii="Times New Roman" w:eastAsia="Calibri" w:hAnsi="Times New Roman" w:cs="Times New Roman"/>
                <w:sz w:val="20"/>
                <w:szCs w:val="20"/>
                <w:lang w:val="en-US"/>
              </w:rPr>
              <w:t xml:space="preserve">Neni 9 </w:t>
            </w:r>
          </w:p>
        </w:tc>
        <w:tc>
          <w:tcPr>
            <w:tcW w:w="5040" w:type="dxa"/>
          </w:tcPr>
          <w:p w14:paraId="436E44B7" w14:textId="5489DD2A" w:rsidR="003C3D4C" w:rsidRPr="00EE294E" w:rsidRDefault="003C3D4C" w:rsidP="003C3D4C">
            <w:pPr>
              <w:jc w:val="both"/>
              <w:rPr>
                <w:rFonts w:ascii="Times New Roman" w:eastAsia="Calibri" w:hAnsi="Times New Roman" w:cs="Times New Roman"/>
                <w:sz w:val="20"/>
                <w:szCs w:val="20"/>
              </w:rPr>
            </w:pPr>
          </w:p>
          <w:p w14:paraId="34E8198A" w14:textId="77777777" w:rsidR="003C3D4C" w:rsidRPr="00EE294E" w:rsidRDefault="003C3D4C" w:rsidP="003C3D4C">
            <w:pPr>
              <w:jc w:val="both"/>
              <w:rPr>
                <w:rFonts w:ascii="Times New Roman" w:eastAsia="Calibri" w:hAnsi="Times New Roman" w:cs="Times New Roman"/>
                <w:sz w:val="20"/>
                <w:szCs w:val="20"/>
              </w:rPr>
            </w:pPr>
            <w:r w:rsidRPr="00EE294E">
              <w:rPr>
                <w:rFonts w:ascii="Times New Roman" w:eastAsia="Calibri" w:hAnsi="Times New Roman" w:cs="Times New Roman"/>
                <w:sz w:val="20"/>
                <w:szCs w:val="20"/>
              </w:rPr>
              <w:t>1.</w:t>
            </w:r>
            <w:r w:rsidRPr="00EE294E">
              <w:rPr>
                <w:rFonts w:ascii="Times New Roman" w:eastAsia="Calibri" w:hAnsi="Times New Roman" w:cs="Times New Roman"/>
                <w:sz w:val="20"/>
                <w:szCs w:val="20"/>
              </w:rPr>
              <w:tab/>
              <w:t>Ofruesit e shërbimeve të pagesës janë të detyruar të:</w:t>
            </w:r>
          </w:p>
          <w:p w14:paraId="472883F2" w14:textId="77777777" w:rsidR="003C3D4C" w:rsidRPr="00EE294E" w:rsidRDefault="003C3D4C" w:rsidP="003C3D4C">
            <w:pPr>
              <w:jc w:val="both"/>
              <w:rPr>
                <w:rFonts w:ascii="Times New Roman" w:eastAsia="Calibri" w:hAnsi="Times New Roman" w:cs="Times New Roman"/>
                <w:sz w:val="20"/>
                <w:szCs w:val="20"/>
              </w:rPr>
            </w:pPr>
          </w:p>
          <w:p w14:paraId="785AB952" w14:textId="66B9A95E" w:rsidR="003C3D4C" w:rsidRPr="00EE294E" w:rsidRDefault="003C3D4C" w:rsidP="003C3D4C">
            <w:pPr>
              <w:jc w:val="both"/>
              <w:rPr>
                <w:rFonts w:ascii="Times New Roman" w:eastAsia="Calibri" w:hAnsi="Times New Roman" w:cs="Times New Roman"/>
                <w:sz w:val="20"/>
                <w:szCs w:val="20"/>
              </w:rPr>
            </w:pPr>
            <w:r w:rsidRPr="00EE294E">
              <w:rPr>
                <w:rFonts w:ascii="Times New Roman" w:eastAsia="Calibri" w:hAnsi="Times New Roman" w:cs="Times New Roman"/>
                <w:sz w:val="20"/>
                <w:szCs w:val="20"/>
              </w:rPr>
              <w:t xml:space="preserve">a) krijojnë dhe administrojnë sisteme </w:t>
            </w:r>
            <w:r w:rsidR="00F01B90" w:rsidRPr="00EE294E">
              <w:rPr>
                <w:rFonts w:ascii="Times New Roman" w:eastAsia="Calibri" w:hAnsi="Times New Roman" w:cs="Times New Roman"/>
                <w:sz w:val="20"/>
                <w:szCs w:val="20"/>
              </w:rPr>
              <w:t xml:space="preserve">elektronike </w:t>
            </w:r>
            <w:r w:rsidRPr="00EE294E">
              <w:rPr>
                <w:rFonts w:ascii="Times New Roman" w:eastAsia="Calibri" w:hAnsi="Times New Roman" w:cs="Times New Roman"/>
                <w:sz w:val="20"/>
                <w:szCs w:val="20"/>
              </w:rPr>
              <w:t xml:space="preserve">që sigurojnë raportimin e të dhënave tek Drejtoria e Përgjithshme e Tatimeve, duke garantuar përputhshmëri me strukturën teknike dhe standardet e sigurisë të përcaktuar në </w:t>
            </w:r>
            <w:r w:rsidRPr="00EE294E">
              <w:rPr>
                <w:rFonts w:ascii="Times New Roman" w:eastAsia="Calibri" w:hAnsi="Times New Roman" w:cs="Times New Roman"/>
                <w:sz w:val="20"/>
                <w:szCs w:val="20"/>
              </w:rPr>
              <w:lastRenderedPageBreak/>
              <w:t xml:space="preserve">Rregulloren </w:t>
            </w:r>
            <w:r w:rsidR="009A70F7" w:rsidRPr="00EE294E">
              <w:rPr>
                <w:rFonts w:ascii="Times New Roman" w:eastAsia="Calibri" w:hAnsi="Times New Roman" w:cs="Times New Roman"/>
                <w:sz w:val="20"/>
                <w:szCs w:val="20"/>
              </w:rPr>
              <w:t xml:space="preserve">e Këshillit Evropian nr. </w:t>
            </w:r>
            <w:r w:rsidRPr="00EE294E">
              <w:rPr>
                <w:rFonts w:ascii="Times New Roman" w:eastAsia="Calibri" w:hAnsi="Times New Roman" w:cs="Times New Roman"/>
                <w:sz w:val="20"/>
                <w:szCs w:val="20"/>
              </w:rPr>
              <w:t xml:space="preserve">904/2010, </w:t>
            </w:r>
            <w:r w:rsidR="009A70F7" w:rsidRPr="00EE294E">
              <w:rPr>
                <w:rFonts w:ascii="Times New Roman" w:eastAsia="Calibri" w:hAnsi="Times New Roman" w:cs="Times New Roman"/>
                <w:sz w:val="20"/>
                <w:szCs w:val="20"/>
              </w:rPr>
              <w:t>t</w:t>
            </w:r>
            <w:r w:rsidR="00EE294E">
              <w:rPr>
                <w:rFonts w:ascii="Times New Roman" w:eastAsia="Calibri" w:hAnsi="Times New Roman" w:cs="Times New Roman"/>
                <w:sz w:val="20"/>
                <w:szCs w:val="20"/>
              </w:rPr>
              <w:t>ë</w:t>
            </w:r>
            <w:r w:rsidR="009A70F7" w:rsidRPr="00EE294E">
              <w:rPr>
                <w:rFonts w:ascii="Times New Roman" w:eastAsia="Calibri" w:hAnsi="Times New Roman" w:cs="Times New Roman"/>
                <w:sz w:val="20"/>
                <w:szCs w:val="20"/>
              </w:rPr>
              <w:t xml:space="preserve"> </w:t>
            </w:r>
            <w:r w:rsidRPr="00EE294E">
              <w:rPr>
                <w:rFonts w:ascii="Times New Roman" w:eastAsia="Calibri" w:hAnsi="Times New Roman" w:cs="Times New Roman"/>
                <w:sz w:val="20"/>
                <w:szCs w:val="20"/>
              </w:rPr>
              <w:t>ndryshuar</w:t>
            </w:r>
            <w:r w:rsidR="009A70F7" w:rsidRPr="00EE294E">
              <w:rPr>
                <w:rFonts w:ascii="Times New Roman" w:eastAsia="Calibri" w:hAnsi="Times New Roman" w:cs="Times New Roman"/>
                <w:sz w:val="20"/>
                <w:szCs w:val="20"/>
              </w:rPr>
              <w:t>,</w:t>
            </w:r>
            <w:r w:rsidRPr="00EE294E">
              <w:rPr>
                <w:rFonts w:ascii="Times New Roman" w:eastAsia="Calibri" w:hAnsi="Times New Roman" w:cs="Times New Roman"/>
                <w:sz w:val="20"/>
                <w:szCs w:val="20"/>
              </w:rPr>
              <w:t xml:space="preserve"> dhe këtij ligji, sipas formatit elektronik të përcaktuar në Aneksin II të Rregullores Zbatuese (EU) </w:t>
            </w:r>
            <w:r w:rsidR="009A70F7" w:rsidRPr="00EE294E">
              <w:rPr>
                <w:rFonts w:ascii="Times New Roman" w:eastAsia="Calibri" w:hAnsi="Times New Roman" w:cs="Times New Roman"/>
                <w:sz w:val="20"/>
                <w:szCs w:val="20"/>
              </w:rPr>
              <w:t xml:space="preserve">nr. </w:t>
            </w:r>
            <w:r w:rsidRPr="00EE294E">
              <w:rPr>
                <w:rFonts w:ascii="Times New Roman" w:eastAsia="Calibri" w:hAnsi="Times New Roman" w:cs="Times New Roman"/>
                <w:sz w:val="20"/>
                <w:szCs w:val="20"/>
              </w:rPr>
              <w:t>2022/1504 të Komisionit.</w:t>
            </w:r>
          </w:p>
          <w:p w14:paraId="4B8479E5" w14:textId="77777777" w:rsidR="003C3D4C" w:rsidRPr="00EE294E" w:rsidRDefault="003C3D4C" w:rsidP="003C3D4C">
            <w:pPr>
              <w:jc w:val="both"/>
              <w:rPr>
                <w:rFonts w:ascii="Times New Roman" w:eastAsia="Calibri" w:hAnsi="Times New Roman" w:cs="Times New Roman"/>
                <w:sz w:val="20"/>
                <w:szCs w:val="20"/>
              </w:rPr>
            </w:pPr>
          </w:p>
          <w:p w14:paraId="344530D1" w14:textId="3A892FFD" w:rsidR="003C3D4C" w:rsidRPr="00EE294E" w:rsidRDefault="003C3D4C" w:rsidP="003C3D4C">
            <w:pPr>
              <w:jc w:val="both"/>
              <w:rPr>
                <w:rFonts w:ascii="Times New Roman" w:eastAsia="Calibri" w:hAnsi="Times New Roman" w:cs="Times New Roman"/>
                <w:sz w:val="20"/>
                <w:szCs w:val="20"/>
              </w:rPr>
            </w:pPr>
            <w:r w:rsidRPr="00EE294E">
              <w:rPr>
                <w:rFonts w:ascii="Times New Roman" w:eastAsia="Calibri" w:hAnsi="Times New Roman" w:cs="Times New Roman"/>
                <w:sz w:val="20"/>
                <w:szCs w:val="20"/>
              </w:rPr>
              <w:t xml:space="preserve">b) mbajnë evidenca tremujore për përfituesit dhe për pagesat në lidhje me shërbimet e pagesave që ata ofrojnë, për të mundësuar ushtrimin e kontrolleve nga administrata tatimore, mbi furnizimet e mallrave dhe shërbimeve të cilat, në përputhje me dispozitat e Kreut IV ”Vendi i furnizimit të transaksioneve të tatueshme”  të ligjit </w:t>
            </w:r>
            <w:r w:rsidR="00F01B90" w:rsidRPr="00EE294E">
              <w:rPr>
                <w:rFonts w:ascii="Times New Roman" w:eastAsia="Calibri" w:hAnsi="Times New Roman" w:cs="Times New Roman"/>
                <w:sz w:val="20"/>
                <w:szCs w:val="20"/>
              </w:rPr>
              <w:t xml:space="preserve">nr. 92/2014 </w:t>
            </w:r>
            <w:r w:rsidRPr="00EE294E">
              <w:rPr>
                <w:rFonts w:ascii="Times New Roman" w:eastAsia="Calibri" w:hAnsi="Times New Roman" w:cs="Times New Roman"/>
                <w:sz w:val="20"/>
                <w:szCs w:val="20"/>
              </w:rPr>
              <w:t xml:space="preserve">për tatimin mbi vlerën e shtuar, konsiderohen se kryhen në </w:t>
            </w:r>
            <w:r w:rsidR="009A70F7" w:rsidRPr="00EE294E">
              <w:rPr>
                <w:rFonts w:ascii="Times New Roman" w:eastAsia="Calibri" w:hAnsi="Times New Roman" w:cs="Times New Roman"/>
                <w:sz w:val="20"/>
                <w:szCs w:val="20"/>
              </w:rPr>
              <w:t xml:space="preserve">Republikën e </w:t>
            </w:r>
            <w:r w:rsidRPr="00EE294E">
              <w:rPr>
                <w:rFonts w:ascii="Times New Roman" w:eastAsia="Calibri" w:hAnsi="Times New Roman" w:cs="Times New Roman"/>
                <w:sz w:val="20"/>
                <w:szCs w:val="20"/>
              </w:rPr>
              <w:t>Shqipëri</w:t>
            </w:r>
            <w:r w:rsidR="009A70F7" w:rsidRPr="00EE294E">
              <w:rPr>
                <w:rFonts w:ascii="Times New Roman" w:eastAsia="Calibri" w:hAnsi="Times New Roman" w:cs="Times New Roman"/>
                <w:sz w:val="20"/>
                <w:szCs w:val="20"/>
              </w:rPr>
              <w:t>së</w:t>
            </w:r>
            <w:r w:rsidRPr="00EE294E">
              <w:rPr>
                <w:rFonts w:ascii="Times New Roman" w:eastAsia="Calibri" w:hAnsi="Times New Roman" w:cs="Times New Roman"/>
                <w:sz w:val="20"/>
                <w:szCs w:val="20"/>
              </w:rPr>
              <w:t>, me qëllim luftimin e mashtrimit me TVSH</w:t>
            </w:r>
            <w:r w:rsidR="009A70F7" w:rsidRPr="00EE294E">
              <w:rPr>
                <w:rFonts w:ascii="Times New Roman" w:eastAsia="Calibri" w:hAnsi="Times New Roman" w:cs="Times New Roman"/>
                <w:sz w:val="20"/>
                <w:szCs w:val="20"/>
              </w:rPr>
              <w:t>-në</w:t>
            </w:r>
            <w:r w:rsidRPr="00EE294E">
              <w:rPr>
                <w:rFonts w:ascii="Times New Roman" w:eastAsia="Calibri" w:hAnsi="Times New Roman" w:cs="Times New Roman"/>
                <w:sz w:val="20"/>
                <w:szCs w:val="20"/>
              </w:rPr>
              <w:t>.</w:t>
            </w:r>
          </w:p>
          <w:p w14:paraId="5D6E879C" w14:textId="77777777" w:rsidR="003C3D4C" w:rsidRPr="00EE294E" w:rsidRDefault="003C3D4C" w:rsidP="003C3D4C">
            <w:pPr>
              <w:jc w:val="both"/>
              <w:rPr>
                <w:rFonts w:ascii="Times New Roman" w:eastAsia="Calibri" w:hAnsi="Times New Roman" w:cs="Times New Roman"/>
                <w:sz w:val="20"/>
                <w:szCs w:val="20"/>
              </w:rPr>
            </w:pPr>
          </w:p>
          <w:p w14:paraId="745542A9" w14:textId="49D75FA4" w:rsidR="003C3D4C" w:rsidRPr="00EE294E" w:rsidRDefault="003C3D4C" w:rsidP="003C3D4C">
            <w:pPr>
              <w:jc w:val="both"/>
              <w:rPr>
                <w:rFonts w:ascii="Times New Roman" w:eastAsia="Calibri" w:hAnsi="Times New Roman" w:cs="Times New Roman"/>
                <w:sz w:val="20"/>
                <w:szCs w:val="20"/>
              </w:rPr>
            </w:pPr>
            <w:r w:rsidRPr="00EE294E">
              <w:rPr>
                <w:rFonts w:ascii="Times New Roman" w:eastAsia="Calibri" w:hAnsi="Times New Roman" w:cs="Times New Roman"/>
                <w:sz w:val="20"/>
                <w:szCs w:val="20"/>
              </w:rPr>
              <w:t xml:space="preserve">c) raportojnë të dhënat tremujore, jo më vonë se </w:t>
            </w:r>
            <w:r w:rsidR="00F01B90" w:rsidRPr="00EE294E">
              <w:rPr>
                <w:rFonts w:ascii="Times New Roman" w:hAnsi="Times New Roman" w:cs="Times New Roman"/>
                <w:bCs/>
                <w:sz w:val="20"/>
                <w:szCs w:val="20"/>
                <w:lang w:val="ro-RO"/>
              </w:rPr>
              <w:t>dita e fundit e</w:t>
            </w:r>
            <w:r w:rsidR="00F01B90" w:rsidRPr="00EE294E" w:rsidDel="00F01B90">
              <w:rPr>
                <w:rFonts w:ascii="Times New Roman" w:eastAsia="Calibri" w:hAnsi="Times New Roman" w:cs="Times New Roman"/>
                <w:sz w:val="20"/>
                <w:szCs w:val="20"/>
              </w:rPr>
              <w:t xml:space="preserve"> </w:t>
            </w:r>
            <w:r w:rsidRPr="00EE294E">
              <w:rPr>
                <w:rFonts w:ascii="Times New Roman" w:eastAsia="Calibri" w:hAnsi="Times New Roman" w:cs="Times New Roman"/>
                <w:sz w:val="20"/>
                <w:szCs w:val="20"/>
              </w:rPr>
              <w:t>muajit pasues të tremujorit kalendarik;</w:t>
            </w:r>
          </w:p>
          <w:p w14:paraId="05EB492E" w14:textId="77777777" w:rsidR="003C3D4C" w:rsidRPr="00EE294E" w:rsidRDefault="003C3D4C" w:rsidP="003C3D4C">
            <w:pPr>
              <w:jc w:val="both"/>
              <w:rPr>
                <w:rFonts w:ascii="Times New Roman" w:eastAsia="Calibri" w:hAnsi="Times New Roman" w:cs="Times New Roman"/>
                <w:sz w:val="20"/>
                <w:szCs w:val="20"/>
              </w:rPr>
            </w:pPr>
          </w:p>
          <w:p w14:paraId="2E631FE3" w14:textId="19686585" w:rsidR="003C3D4C" w:rsidRPr="00EE294E" w:rsidRDefault="003C3D4C" w:rsidP="003C3D4C">
            <w:pPr>
              <w:jc w:val="both"/>
              <w:rPr>
                <w:rFonts w:ascii="Times New Roman" w:eastAsia="Calibri" w:hAnsi="Times New Roman" w:cs="Times New Roman"/>
                <w:sz w:val="20"/>
                <w:szCs w:val="20"/>
              </w:rPr>
            </w:pPr>
            <w:r w:rsidRPr="00EE294E">
              <w:rPr>
                <w:rFonts w:ascii="Times New Roman" w:eastAsia="Calibri" w:hAnsi="Times New Roman" w:cs="Times New Roman"/>
                <w:sz w:val="20"/>
                <w:szCs w:val="20"/>
              </w:rPr>
              <w:t>d) ruajnë informacionin e mbledhur për një periudhë prej tre (3) vjet kalendarik</w:t>
            </w:r>
            <w:r w:rsidR="00EE294E">
              <w:rPr>
                <w:rFonts w:ascii="Times New Roman" w:eastAsia="Calibri" w:hAnsi="Times New Roman" w:cs="Times New Roman"/>
                <w:sz w:val="20"/>
                <w:szCs w:val="20"/>
              </w:rPr>
              <w:t>e</w:t>
            </w:r>
            <w:r w:rsidRPr="00EE294E">
              <w:rPr>
                <w:rFonts w:ascii="Times New Roman" w:eastAsia="Calibri" w:hAnsi="Times New Roman" w:cs="Times New Roman"/>
                <w:sz w:val="20"/>
                <w:szCs w:val="20"/>
              </w:rPr>
              <w:t>, të llogaritur nga fundi i vitit kalendarik që korrespondon me datën e pagesës.</w:t>
            </w:r>
          </w:p>
          <w:p w14:paraId="2BCB0775" w14:textId="77777777" w:rsidR="003C3D4C" w:rsidRPr="00EE294E" w:rsidRDefault="003C3D4C" w:rsidP="003C3D4C">
            <w:pPr>
              <w:jc w:val="both"/>
              <w:rPr>
                <w:rFonts w:ascii="Times New Roman" w:eastAsia="Calibri" w:hAnsi="Times New Roman" w:cs="Times New Roman"/>
                <w:sz w:val="20"/>
                <w:szCs w:val="20"/>
              </w:rPr>
            </w:pPr>
          </w:p>
          <w:p w14:paraId="26E9CBA1" w14:textId="63425D7B" w:rsidR="003C3D4C" w:rsidRPr="00EE294E" w:rsidRDefault="003C3D4C" w:rsidP="003C3D4C">
            <w:pPr>
              <w:jc w:val="both"/>
              <w:rPr>
                <w:rFonts w:ascii="Times New Roman" w:eastAsia="Calibri" w:hAnsi="Times New Roman" w:cs="Times New Roman"/>
                <w:sz w:val="20"/>
                <w:szCs w:val="20"/>
              </w:rPr>
            </w:pPr>
            <w:r w:rsidRPr="00EE294E">
              <w:rPr>
                <w:rFonts w:ascii="Times New Roman" w:eastAsia="Calibri" w:hAnsi="Times New Roman" w:cs="Times New Roman"/>
                <w:sz w:val="20"/>
                <w:szCs w:val="20"/>
              </w:rPr>
              <w:t>2.</w:t>
            </w:r>
            <w:r w:rsidRPr="00EE294E">
              <w:rPr>
                <w:rFonts w:ascii="Times New Roman" w:eastAsia="Calibri" w:hAnsi="Times New Roman" w:cs="Times New Roman"/>
                <w:sz w:val="20"/>
                <w:szCs w:val="20"/>
              </w:rPr>
              <w:tab/>
              <w:t xml:space="preserve">Detyrimi i përcaktuar në pikën 1, </w:t>
            </w:r>
            <w:r w:rsidR="009A70F7" w:rsidRPr="00EE294E">
              <w:rPr>
                <w:rFonts w:ascii="Times New Roman" w:eastAsia="Calibri" w:hAnsi="Times New Roman" w:cs="Times New Roman"/>
                <w:sz w:val="20"/>
                <w:szCs w:val="20"/>
              </w:rPr>
              <w:t xml:space="preserve">shkronja </w:t>
            </w:r>
            <w:r w:rsidRPr="00EE294E">
              <w:rPr>
                <w:rFonts w:ascii="Times New Roman" w:eastAsia="Calibri" w:hAnsi="Times New Roman" w:cs="Times New Roman"/>
                <w:sz w:val="20"/>
                <w:szCs w:val="20"/>
              </w:rPr>
              <w:t xml:space="preserve">c) </w:t>
            </w:r>
            <w:r w:rsidR="009A70F7" w:rsidRPr="00EE294E">
              <w:rPr>
                <w:rFonts w:ascii="Times New Roman" w:eastAsia="Calibri" w:hAnsi="Times New Roman" w:cs="Times New Roman"/>
                <w:sz w:val="20"/>
                <w:szCs w:val="20"/>
              </w:rPr>
              <w:t xml:space="preserve">e </w:t>
            </w:r>
            <w:r w:rsidRPr="00EE294E">
              <w:rPr>
                <w:rFonts w:ascii="Times New Roman" w:eastAsia="Calibri" w:hAnsi="Times New Roman" w:cs="Times New Roman"/>
                <w:sz w:val="20"/>
                <w:szCs w:val="20"/>
              </w:rPr>
              <w:t>këtij neni, zbatohet vetëm në rastet kur gjatë një tremujori kalendarik, një ofrues shërbimi pagese kryen më shumë se njëzet e pesë (25) pagesa ndërkufitare për të njëjtin përfitues të pagesës. Ky numër llogaritet për Shqipërinë dhe për çdo përfitues pagese, bazuar në identifikuesit e përmendur në pikën 2 të nenit 8 të këtij ligji. Kur përfituesi i pagesës mban më shumë se një identifikues, llogaritja bëhet për çdo përfitues pagese.</w:t>
            </w:r>
          </w:p>
          <w:p w14:paraId="723594D6" w14:textId="77777777" w:rsidR="003C3D4C" w:rsidRPr="00EE294E" w:rsidRDefault="003C3D4C" w:rsidP="003C3D4C">
            <w:pPr>
              <w:jc w:val="both"/>
              <w:rPr>
                <w:rFonts w:ascii="Times New Roman" w:eastAsia="Calibri" w:hAnsi="Times New Roman" w:cs="Times New Roman"/>
                <w:sz w:val="20"/>
                <w:szCs w:val="20"/>
              </w:rPr>
            </w:pPr>
          </w:p>
          <w:p w14:paraId="0C9BBC2C" w14:textId="77777777" w:rsidR="003C3D4C" w:rsidRPr="00EE294E" w:rsidRDefault="003C3D4C" w:rsidP="003C3D4C">
            <w:pPr>
              <w:jc w:val="both"/>
              <w:rPr>
                <w:rFonts w:ascii="Times New Roman" w:eastAsia="Calibri" w:hAnsi="Times New Roman" w:cs="Times New Roman"/>
                <w:sz w:val="20"/>
                <w:szCs w:val="20"/>
              </w:rPr>
            </w:pPr>
          </w:p>
          <w:p w14:paraId="1CD31772" w14:textId="6BBE2A2B" w:rsidR="003C045B" w:rsidRPr="00EE294E" w:rsidRDefault="003C3D4C" w:rsidP="003C3D4C">
            <w:pPr>
              <w:jc w:val="both"/>
              <w:rPr>
                <w:rFonts w:ascii="Times New Roman" w:eastAsia="Calibri" w:hAnsi="Times New Roman" w:cs="Times New Roman"/>
                <w:sz w:val="20"/>
                <w:szCs w:val="20"/>
              </w:rPr>
            </w:pPr>
            <w:r w:rsidRPr="00EE294E">
              <w:rPr>
                <w:rFonts w:ascii="Times New Roman" w:eastAsia="Calibri" w:hAnsi="Times New Roman" w:cs="Times New Roman"/>
                <w:sz w:val="20"/>
                <w:szCs w:val="20"/>
              </w:rPr>
              <w:t>3.</w:t>
            </w:r>
            <w:r w:rsidRPr="00EE294E">
              <w:rPr>
                <w:rFonts w:ascii="Times New Roman" w:eastAsia="Calibri" w:hAnsi="Times New Roman" w:cs="Times New Roman"/>
                <w:sz w:val="20"/>
                <w:szCs w:val="20"/>
              </w:rPr>
              <w:tab/>
              <w:t xml:space="preserve">Kur ofruesi i shërbimit të pagesës së paguesit dhe ai i përfituesit ndodhen të dy brenda territorit të Bashkimit </w:t>
            </w:r>
            <w:r w:rsidRPr="00EE294E">
              <w:rPr>
                <w:rFonts w:ascii="Times New Roman" w:eastAsia="Calibri" w:hAnsi="Times New Roman" w:cs="Times New Roman"/>
                <w:sz w:val="20"/>
                <w:szCs w:val="20"/>
              </w:rPr>
              <w:lastRenderedPageBreak/>
              <w:t xml:space="preserve">Evropian, detyrimi për raportim sipas pikës 1, </w:t>
            </w:r>
            <w:r w:rsidR="00A570A7" w:rsidRPr="00EE294E">
              <w:rPr>
                <w:rFonts w:ascii="Times New Roman" w:eastAsia="Calibri" w:hAnsi="Times New Roman" w:cs="Times New Roman"/>
                <w:sz w:val="20"/>
                <w:szCs w:val="20"/>
              </w:rPr>
              <w:t xml:space="preserve">shkronja </w:t>
            </w:r>
            <w:r w:rsidRPr="00EE294E">
              <w:rPr>
                <w:rFonts w:ascii="Times New Roman" w:eastAsia="Calibri" w:hAnsi="Times New Roman" w:cs="Times New Roman"/>
                <w:sz w:val="20"/>
                <w:szCs w:val="20"/>
              </w:rPr>
              <w:t xml:space="preserve">c) </w:t>
            </w:r>
            <w:r w:rsidR="00A570A7" w:rsidRPr="00EE294E">
              <w:rPr>
                <w:rFonts w:ascii="Times New Roman" w:eastAsia="Calibri" w:hAnsi="Times New Roman" w:cs="Times New Roman"/>
                <w:sz w:val="20"/>
                <w:szCs w:val="20"/>
              </w:rPr>
              <w:t>e</w:t>
            </w:r>
            <w:r w:rsidRPr="00EE294E">
              <w:rPr>
                <w:rFonts w:ascii="Times New Roman" w:eastAsia="Calibri" w:hAnsi="Times New Roman" w:cs="Times New Roman"/>
                <w:sz w:val="20"/>
                <w:szCs w:val="20"/>
              </w:rPr>
              <w:t xml:space="preserve"> këti neni zbatohet vetëm për ofruesin e shërbimit të pagesës së përfituesit. Ofruesi i shërbimit të pagesës së paguesit është i detyruar të përfshijë këto pagesa në llogaritjen e pragut prej njëzet e pesë (25) pagesash në tremujor.</w:t>
            </w:r>
          </w:p>
        </w:tc>
        <w:tc>
          <w:tcPr>
            <w:tcW w:w="720" w:type="dxa"/>
          </w:tcPr>
          <w:p w14:paraId="6937246A" w14:textId="42B9533B" w:rsidR="003C045B" w:rsidRPr="00EE294E" w:rsidRDefault="003C045B" w:rsidP="003C045B">
            <w:pPr>
              <w:jc w:val="center"/>
              <w:rPr>
                <w:rFonts w:ascii="Times New Roman" w:eastAsia="Calibri" w:hAnsi="Times New Roman" w:cs="Times New Roman"/>
                <w:sz w:val="20"/>
                <w:szCs w:val="20"/>
                <w:lang w:val="en-US"/>
              </w:rPr>
            </w:pPr>
            <w:r w:rsidRPr="00EE294E">
              <w:rPr>
                <w:rFonts w:ascii="Times New Roman" w:eastAsia="Calibri" w:hAnsi="Times New Roman" w:cs="Times New Roman"/>
                <w:sz w:val="20"/>
                <w:szCs w:val="20"/>
                <w:lang w:val="en-US"/>
              </w:rPr>
              <w:lastRenderedPageBreak/>
              <w:t>F</w:t>
            </w:r>
          </w:p>
        </w:tc>
        <w:tc>
          <w:tcPr>
            <w:tcW w:w="3510" w:type="dxa"/>
          </w:tcPr>
          <w:p w14:paraId="46F4CCAA" w14:textId="77777777" w:rsidR="0009621F" w:rsidRPr="00EE294E" w:rsidRDefault="0009621F" w:rsidP="003C045B">
            <w:pPr>
              <w:rPr>
                <w:rFonts w:ascii="Times New Roman" w:hAnsi="Times New Roman" w:cs="Times New Roman"/>
                <w:sz w:val="20"/>
                <w:szCs w:val="20"/>
              </w:rPr>
            </w:pPr>
            <w:r w:rsidRPr="00EE294E">
              <w:rPr>
                <w:rFonts w:ascii="Times New Roman" w:hAnsi="Times New Roman" w:cs="Times New Roman"/>
                <w:sz w:val="20"/>
                <w:szCs w:val="20"/>
              </w:rPr>
              <w:t>Në përputhje.</w:t>
            </w:r>
          </w:p>
          <w:p w14:paraId="007CBA3B" w14:textId="77777777" w:rsidR="0009621F" w:rsidRPr="00EE294E" w:rsidRDefault="0009621F" w:rsidP="003C045B">
            <w:pPr>
              <w:rPr>
                <w:rFonts w:ascii="Times New Roman" w:hAnsi="Times New Roman" w:cs="Times New Roman"/>
                <w:sz w:val="20"/>
                <w:szCs w:val="20"/>
              </w:rPr>
            </w:pPr>
          </w:p>
          <w:p w14:paraId="361A2435" w14:textId="2416DAA0" w:rsidR="00237F57" w:rsidRPr="00EE294E" w:rsidRDefault="003C045B" w:rsidP="003C045B">
            <w:pPr>
              <w:rPr>
                <w:rFonts w:ascii="Times New Roman" w:hAnsi="Times New Roman" w:cs="Times New Roman"/>
                <w:sz w:val="20"/>
                <w:szCs w:val="20"/>
              </w:rPr>
            </w:pPr>
            <w:r w:rsidRPr="00EE294E">
              <w:rPr>
                <w:rFonts w:ascii="Times New Roman" w:hAnsi="Times New Roman" w:cs="Times New Roman"/>
                <w:sz w:val="20"/>
                <w:szCs w:val="20"/>
              </w:rPr>
              <w:t xml:space="preserve">Neni 9 është </w:t>
            </w:r>
            <w:r w:rsidRPr="00EE294E">
              <w:rPr>
                <w:rStyle w:val="Strong"/>
                <w:rFonts w:ascii="Times New Roman" w:hAnsi="Times New Roman" w:cs="Times New Roman"/>
                <w:b w:val="0"/>
                <w:bCs w:val="0"/>
                <w:sz w:val="20"/>
                <w:szCs w:val="20"/>
              </w:rPr>
              <w:t xml:space="preserve">plotësisht në përputhje </w:t>
            </w:r>
            <w:r w:rsidRPr="00EE294E">
              <w:rPr>
                <w:rFonts w:ascii="Times New Roman" w:hAnsi="Times New Roman" w:cs="Times New Roman"/>
                <w:sz w:val="20"/>
                <w:szCs w:val="20"/>
              </w:rPr>
              <w:t>me Nenin 243b të Direktivës 2006/112/KE.</w:t>
            </w:r>
          </w:p>
          <w:p w14:paraId="360D75DB" w14:textId="77777777" w:rsidR="00237F57" w:rsidRPr="00EE294E" w:rsidRDefault="00237F57" w:rsidP="003C045B">
            <w:pPr>
              <w:rPr>
                <w:rFonts w:ascii="Times New Roman" w:hAnsi="Times New Roman" w:cs="Times New Roman"/>
                <w:sz w:val="20"/>
                <w:szCs w:val="20"/>
              </w:rPr>
            </w:pPr>
          </w:p>
          <w:p w14:paraId="037CD299" w14:textId="1BCDEB11" w:rsidR="003C045B" w:rsidRPr="00EE294E" w:rsidRDefault="003C045B" w:rsidP="003C045B">
            <w:pPr>
              <w:rPr>
                <w:rFonts w:ascii="Times New Roman" w:eastAsia="Calibri" w:hAnsi="Times New Roman" w:cs="Times New Roman"/>
                <w:sz w:val="20"/>
                <w:szCs w:val="20"/>
              </w:rPr>
            </w:pPr>
            <w:r w:rsidRPr="00EE294E">
              <w:rPr>
                <w:rFonts w:ascii="Times New Roman" w:hAnsi="Times New Roman" w:cs="Times New Roman"/>
                <w:sz w:val="20"/>
                <w:szCs w:val="20"/>
              </w:rPr>
              <w:t xml:space="preserve">Ai përcakton qartë detyrimet e ofruesve të shërbimeve të pagesave, pragun prej </w:t>
            </w:r>
            <w:r w:rsidRPr="00EE294E">
              <w:rPr>
                <w:rFonts w:ascii="Times New Roman" w:hAnsi="Times New Roman" w:cs="Times New Roman"/>
                <w:sz w:val="20"/>
                <w:szCs w:val="20"/>
              </w:rPr>
              <w:lastRenderedPageBreak/>
              <w:t>25 pagesash për raportim, metodën e llogaritjes për secilin identifikues dhe ruajtjen e të dhënave për tre vjet, në përputhje me strukturat dhe standardet e CESOP.</w:t>
            </w:r>
          </w:p>
        </w:tc>
      </w:tr>
      <w:tr w:rsidR="003C045B" w:rsidRPr="00EE294E" w14:paraId="27605F4A" w14:textId="77777777" w:rsidTr="00990A3C">
        <w:tc>
          <w:tcPr>
            <w:tcW w:w="540" w:type="dxa"/>
            <w:shd w:val="clear" w:color="auto" w:fill="D0CECE" w:themeFill="background2" w:themeFillShade="E6"/>
          </w:tcPr>
          <w:p w14:paraId="544D4079" w14:textId="4E3F96B9" w:rsidR="003C045B" w:rsidRPr="00EE294E" w:rsidRDefault="003C045B" w:rsidP="003C045B">
            <w:pPr>
              <w:rPr>
                <w:rFonts w:ascii="Times New Roman" w:eastAsia="Times New Roman" w:hAnsi="Times New Roman" w:cs="Times New Roman"/>
                <w:sz w:val="20"/>
                <w:szCs w:val="20"/>
                <w:lang w:eastAsia="sq-AL"/>
              </w:rPr>
            </w:pPr>
            <w:r w:rsidRPr="00EE294E">
              <w:rPr>
                <w:rFonts w:ascii="Times New Roman" w:eastAsia="Times New Roman" w:hAnsi="Times New Roman" w:cs="Times New Roman"/>
                <w:sz w:val="20"/>
                <w:szCs w:val="20"/>
                <w:lang w:eastAsia="sq-AL"/>
              </w:rPr>
              <w:lastRenderedPageBreak/>
              <w:t>1</w:t>
            </w:r>
          </w:p>
        </w:tc>
        <w:tc>
          <w:tcPr>
            <w:tcW w:w="5400" w:type="dxa"/>
            <w:shd w:val="clear" w:color="auto" w:fill="D0CECE" w:themeFill="background2" w:themeFillShade="E6"/>
          </w:tcPr>
          <w:p w14:paraId="383B191F" w14:textId="77777777" w:rsidR="003C045B" w:rsidRPr="00EE294E" w:rsidRDefault="003C045B" w:rsidP="003C045B">
            <w:pPr>
              <w:shd w:val="clear" w:color="auto" w:fill="FFFFFF"/>
              <w:spacing w:before="360" w:after="120"/>
              <w:rPr>
                <w:rFonts w:ascii="Times New Roman" w:eastAsia="Times New Roman" w:hAnsi="Times New Roman" w:cs="Times New Roman"/>
                <w:sz w:val="20"/>
                <w:szCs w:val="20"/>
                <w:lang w:eastAsia="sq-AL"/>
              </w:rPr>
            </w:pPr>
            <w:r w:rsidRPr="00EE294E">
              <w:rPr>
                <w:rFonts w:ascii="Times New Roman" w:eastAsia="Times New Roman" w:hAnsi="Times New Roman" w:cs="Times New Roman"/>
                <w:sz w:val="20"/>
                <w:szCs w:val="20"/>
                <w:lang w:eastAsia="sq-AL"/>
              </w:rPr>
              <w:t>Neni 243d</w:t>
            </w:r>
          </w:p>
          <w:p w14:paraId="32AF3B6C" w14:textId="31654630" w:rsidR="003C045B" w:rsidRPr="00EE294E" w:rsidRDefault="003C045B" w:rsidP="003C045B">
            <w:pPr>
              <w:rPr>
                <w:rFonts w:ascii="Times New Roman" w:eastAsia="Times New Roman" w:hAnsi="Times New Roman" w:cs="Times New Roman"/>
                <w:sz w:val="20"/>
                <w:szCs w:val="20"/>
                <w:lang w:eastAsia="sq-AL"/>
              </w:rPr>
            </w:pPr>
          </w:p>
        </w:tc>
        <w:tc>
          <w:tcPr>
            <w:tcW w:w="450" w:type="dxa"/>
            <w:shd w:val="clear" w:color="auto" w:fill="D0CECE" w:themeFill="background2" w:themeFillShade="E6"/>
          </w:tcPr>
          <w:p w14:paraId="4E19E6AD" w14:textId="3144A471" w:rsidR="003C045B" w:rsidRPr="00EE294E" w:rsidRDefault="003C045B" w:rsidP="003C045B">
            <w:pPr>
              <w:jc w:val="center"/>
              <w:rPr>
                <w:rFonts w:ascii="Times New Roman" w:eastAsia="Calibri" w:hAnsi="Times New Roman" w:cs="Times New Roman"/>
                <w:sz w:val="20"/>
                <w:szCs w:val="20"/>
              </w:rPr>
            </w:pPr>
          </w:p>
        </w:tc>
        <w:tc>
          <w:tcPr>
            <w:tcW w:w="644" w:type="dxa"/>
            <w:shd w:val="clear" w:color="auto" w:fill="D0CECE" w:themeFill="background2" w:themeFillShade="E6"/>
          </w:tcPr>
          <w:p w14:paraId="72640A97" w14:textId="46DD4248" w:rsidR="003C045B" w:rsidRPr="00EE294E" w:rsidRDefault="003C045B" w:rsidP="003C045B">
            <w:pPr>
              <w:jc w:val="center"/>
              <w:rPr>
                <w:rFonts w:ascii="Times New Roman" w:eastAsia="Calibri" w:hAnsi="Times New Roman" w:cs="Times New Roman"/>
                <w:sz w:val="20"/>
                <w:szCs w:val="20"/>
                <w:lang w:val="en-US"/>
              </w:rPr>
            </w:pPr>
          </w:p>
        </w:tc>
        <w:tc>
          <w:tcPr>
            <w:tcW w:w="5040" w:type="dxa"/>
            <w:shd w:val="clear" w:color="auto" w:fill="D0CECE" w:themeFill="background2" w:themeFillShade="E6"/>
          </w:tcPr>
          <w:p w14:paraId="4EF09265" w14:textId="77777777" w:rsidR="003C3D4C" w:rsidRPr="00EE294E" w:rsidRDefault="003C3D4C" w:rsidP="003C3D4C">
            <w:pPr>
              <w:jc w:val="center"/>
              <w:rPr>
                <w:rFonts w:ascii="Times New Roman" w:eastAsia="Calibri" w:hAnsi="Times New Roman" w:cs="Times New Roman"/>
                <w:b/>
                <w:bCs/>
                <w:sz w:val="20"/>
                <w:szCs w:val="20"/>
                <w:lang w:val="en-US"/>
              </w:rPr>
            </w:pPr>
            <w:r w:rsidRPr="00EE294E">
              <w:rPr>
                <w:rFonts w:ascii="Times New Roman" w:eastAsia="Calibri" w:hAnsi="Times New Roman" w:cs="Times New Roman"/>
                <w:b/>
                <w:bCs/>
                <w:sz w:val="20"/>
                <w:szCs w:val="20"/>
                <w:lang w:val="en-US"/>
              </w:rPr>
              <w:t>Neni 10</w:t>
            </w:r>
          </w:p>
          <w:p w14:paraId="02F73593" w14:textId="7E2CFC1D" w:rsidR="003C045B" w:rsidRPr="00EE294E" w:rsidRDefault="003C3D4C" w:rsidP="003C3D4C">
            <w:pPr>
              <w:jc w:val="center"/>
              <w:rPr>
                <w:rFonts w:ascii="Times New Roman" w:eastAsia="Calibri" w:hAnsi="Times New Roman" w:cs="Times New Roman"/>
                <w:sz w:val="20"/>
                <w:szCs w:val="20"/>
                <w:lang w:val="en-US"/>
              </w:rPr>
            </w:pPr>
            <w:proofErr w:type="spellStart"/>
            <w:r w:rsidRPr="00EE294E">
              <w:rPr>
                <w:rFonts w:ascii="Times New Roman" w:eastAsia="Calibri" w:hAnsi="Times New Roman" w:cs="Times New Roman"/>
                <w:b/>
                <w:bCs/>
                <w:sz w:val="20"/>
                <w:szCs w:val="20"/>
                <w:lang w:val="en-US"/>
              </w:rPr>
              <w:t>Përmbajtja</w:t>
            </w:r>
            <w:proofErr w:type="spellEnd"/>
            <w:r w:rsidRPr="00EE294E">
              <w:rPr>
                <w:rFonts w:ascii="Times New Roman" w:eastAsia="Calibri" w:hAnsi="Times New Roman" w:cs="Times New Roman"/>
                <w:b/>
                <w:bCs/>
                <w:sz w:val="20"/>
                <w:szCs w:val="20"/>
                <w:lang w:val="en-US"/>
              </w:rPr>
              <w:t xml:space="preserve"> </w:t>
            </w:r>
            <w:proofErr w:type="spellStart"/>
            <w:r w:rsidRPr="00EE294E">
              <w:rPr>
                <w:rFonts w:ascii="Times New Roman" w:eastAsia="Calibri" w:hAnsi="Times New Roman" w:cs="Times New Roman"/>
                <w:b/>
                <w:bCs/>
                <w:sz w:val="20"/>
                <w:szCs w:val="20"/>
                <w:lang w:val="en-US"/>
              </w:rPr>
              <w:t>dhe</w:t>
            </w:r>
            <w:proofErr w:type="spellEnd"/>
            <w:r w:rsidRPr="00EE294E">
              <w:rPr>
                <w:rFonts w:ascii="Times New Roman" w:eastAsia="Calibri" w:hAnsi="Times New Roman" w:cs="Times New Roman"/>
                <w:b/>
                <w:bCs/>
                <w:sz w:val="20"/>
                <w:szCs w:val="20"/>
                <w:lang w:val="en-US"/>
              </w:rPr>
              <w:t xml:space="preserve"> </w:t>
            </w:r>
            <w:proofErr w:type="spellStart"/>
            <w:r w:rsidRPr="00EE294E">
              <w:rPr>
                <w:rFonts w:ascii="Times New Roman" w:eastAsia="Calibri" w:hAnsi="Times New Roman" w:cs="Times New Roman"/>
                <w:b/>
                <w:bCs/>
                <w:sz w:val="20"/>
                <w:szCs w:val="20"/>
                <w:lang w:val="en-US"/>
              </w:rPr>
              <w:t>mbajtja</w:t>
            </w:r>
            <w:proofErr w:type="spellEnd"/>
            <w:r w:rsidRPr="00EE294E">
              <w:rPr>
                <w:rFonts w:ascii="Times New Roman" w:eastAsia="Calibri" w:hAnsi="Times New Roman" w:cs="Times New Roman"/>
                <w:b/>
                <w:bCs/>
                <w:sz w:val="20"/>
                <w:szCs w:val="20"/>
                <w:lang w:val="en-US"/>
              </w:rPr>
              <w:t xml:space="preserve"> e </w:t>
            </w:r>
            <w:proofErr w:type="spellStart"/>
            <w:r w:rsidRPr="00EE294E">
              <w:rPr>
                <w:rFonts w:ascii="Times New Roman" w:eastAsia="Calibri" w:hAnsi="Times New Roman" w:cs="Times New Roman"/>
                <w:b/>
                <w:bCs/>
                <w:sz w:val="20"/>
                <w:szCs w:val="20"/>
                <w:lang w:val="en-US"/>
              </w:rPr>
              <w:t>të</w:t>
            </w:r>
            <w:proofErr w:type="spellEnd"/>
            <w:r w:rsidRPr="00EE294E">
              <w:rPr>
                <w:rFonts w:ascii="Times New Roman" w:eastAsia="Calibri" w:hAnsi="Times New Roman" w:cs="Times New Roman"/>
                <w:b/>
                <w:bCs/>
                <w:sz w:val="20"/>
                <w:szCs w:val="20"/>
                <w:lang w:val="en-US"/>
              </w:rPr>
              <w:t xml:space="preserve"> </w:t>
            </w:r>
            <w:proofErr w:type="spellStart"/>
            <w:r w:rsidRPr="00EE294E">
              <w:rPr>
                <w:rFonts w:ascii="Times New Roman" w:eastAsia="Calibri" w:hAnsi="Times New Roman" w:cs="Times New Roman"/>
                <w:b/>
                <w:bCs/>
                <w:sz w:val="20"/>
                <w:szCs w:val="20"/>
                <w:lang w:val="en-US"/>
              </w:rPr>
              <w:t>dhënave</w:t>
            </w:r>
            <w:proofErr w:type="spellEnd"/>
            <w:r w:rsidRPr="00EE294E">
              <w:rPr>
                <w:rFonts w:ascii="Times New Roman" w:eastAsia="Calibri" w:hAnsi="Times New Roman" w:cs="Times New Roman"/>
                <w:b/>
                <w:bCs/>
                <w:sz w:val="20"/>
                <w:szCs w:val="20"/>
                <w:lang w:val="en-US"/>
              </w:rPr>
              <w:t xml:space="preserve"> </w:t>
            </w:r>
            <w:proofErr w:type="spellStart"/>
            <w:r w:rsidRPr="00EE294E">
              <w:rPr>
                <w:rFonts w:ascii="Times New Roman" w:eastAsia="Calibri" w:hAnsi="Times New Roman" w:cs="Times New Roman"/>
                <w:b/>
                <w:bCs/>
                <w:sz w:val="20"/>
                <w:szCs w:val="20"/>
                <w:lang w:val="en-US"/>
              </w:rPr>
              <w:t>nga</w:t>
            </w:r>
            <w:proofErr w:type="spellEnd"/>
            <w:r w:rsidRPr="00EE294E">
              <w:rPr>
                <w:rFonts w:ascii="Times New Roman" w:eastAsia="Calibri" w:hAnsi="Times New Roman" w:cs="Times New Roman"/>
                <w:b/>
                <w:bCs/>
                <w:sz w:val="20"/>
                <w:szCs w:val="20"/>
                <w:lang w:val="en-US"/>
              </w:rPr>
              <w:t xml:space="preserve"> </w:t>
            </w:r>
            <w:proofErr w:type="spellStart"/>
            <w:r w:rsidRPr="00EE294E">
              <w:rPr>
                <w:rFonts w:ascii="Times New Roman" w:eastAsia="Calibri" w:hAnsi="Times New Roman" w:cs="Times New Roman"/>
                <w:b/>
                <w:bCs/>
                <w:sz w:val="20"/>
                <w:szCs w:val="20"/>
                <w:lang w:val="en-US"/>
              </w:rPr>
              <w:t>ofruesit</w:t>
            </w:r>
            <w:proofErr w:type="spellEnd"/>
            <w:r w:rsidRPr="00EE294E">
              <w:rPr>
                <w:rFonts w:ascii="Times New Roman" w:eastAsia="Calibri" w:hAnsi="Times New Roman" w:cs="Times New Roman"/>
                <w:b/>
                <w:bCs/>
                <w:sz w:val="20"/>
                <w:szCs w:val="20"/>
                <w:lang w:val="en-US"/>
              </w:rPr>
              <w:t xml:space="preserve"> e </w:t>
            </w:r>
            <w:proofErr w:type="spellStart"/>
            <w:r w:rsidRPr="00EE294E">
              <w:rPr>
                <w:rFonts w:ascii="Times New Roman" w:eastAsia="Calibri" w:hAnsi="Times New Roman" w:cs="Times New Roman"/>
                <w:b/>
                <w:bCs/>
                <w:sz w:val="20"/>
                <w:szCs w:val="20"/>
                <w:lang w:val="en-US"/>
              </w:rPr>
              <w:t>shërbimeve</w:t>
            </w:r>
            <w:proofErr w:type="spellEnd"/>
            <w:r w:rsidRPr="00EE294E">
              <w:rPr>
                <w:rFonts w:ascii="Times New Roman" w:eastAsia="Calibri" w:hAnsi="Times New Roman" w:cs="Times New Roman"/>
                <w:b/>
                <w:bCs/>
                <w:sz w:val="20"/>
                <w:szCs w:val="20"/>
                <w:lang w:val="en-US"/>
              </w:rPr>
              <w:t xml:space="preserve"> </w:t>
            </w:r>
            <w:proofErr w:type="spellStart"/>
            <w:r w:rsidRPr="00EE294E">
              <w:rPr>
                <w:rFonts w:ascii="Times New Roman" w:eastAsia="Calibri" w:hAnsi="Times New Roman" w:cs="Times New Roman"/>
                <w:b/>
                <w:bCs/>
                <w:sz w:val="20"/>
                <w:szCs w:val="20"/>
                <w:lang w:val="en-US"/>
              </w:rPr>
              <w:t>të</w:t>
            </w:r>
            <w:proofErr w:type="spellEnd"/>
            <w:r w:rsidRPr="00EE294E">
              <w:rPr>
                <w:rFonts w:ascii="Times New Roman" w:eastAsia="Calibri" w:hAnsi="Times New Roman" w:cs="Times New Roman"/>
                <w:b/>
                <w:bCs/>
                <w:sz w:val="20"/>
                <w:szCs w:val="20"/>
                <w:lang w:val="en-US"/>
              </w:rPr>
              <w:t xml:space="preserve"> </w:t>
            </w:r>
            <w:proofErr w:type="spellStart"/>
            <w:r w:rsidRPr="00EE294E">
              <w:rPr>
                <w:rFonts w:ascii="Times New Roman" w:eastAsia="Calibri" w:hAnsi="Times New Roman" w:cs="Times New Roman"/>
                <w:b/>
                <w:bCs/>
                <w:sz w:val="20"/>
                <w:szCs w:val="20"/>
                <w:lang w:val="en-US"/>
              </w:rPr>
              <w:t>pagesës</w:t>
            </w:r>
            <w:proofErr w:type="spellEnd"/>
          </w:p>
        </w:tc>
        <w:tc>
          <w:tcPr>
            <w:tcW w:w="720" w:type="dxa"/>
            <w:shd w:val="clear" w:color="auto" w:fill="D0CECE" w:themeFill="background2" w:themeFillShade="E6"/>
          </w:tcPr>
          <w:p w14:paraId="60CEFF79" w14:textId="163E3D01" w:rsidR="003C045B" w:rsidRPr="00EE294E" w:rsidRDefault="003C045B" w:rsidP="003C045B">
            <w:pPr>
              <w:jc w:val="center"/>
              <w:rPr>
                <w:rFonts w:ascii="Times New Roman" w:eastAsia="Calibri" w:hAnsi="Times New Roman" w:cs="Times New Roman"/>
                <w:sz w:val="20"/>
                <w:szCs w:val="20"/>
                <w:lang w:val="en-US"/>
              </w:rPr>
            </w:pPr>
          </w:p>
        </w:tc>
        <w:tc>
          <w:tcPr>
            <w:tcW w:w="3510" w:type="dxa"/>
            <w:shd w:val="clear" w:color="auto" w:fill="D0CECE" w:themeFill="background2" w:themeFillShade="E6"/>
          </w:tcPr>
          <w:p w14:paraId="002BB236" w14:textId="77777777" w:rsidR="003C045B" w:rsidRPr="00EE294E" w:rsidRDefault="003C045B" w:rsidP="003C045B">
            <w:pPr>
              <w:rPr>
                <w:rFonts w:ascii="Times New Roman" w:eastAsia="Calibri" w:hAnsi="Times New Roman" w:cs="Times New Roman"/>
                <w:sz w:val="20"/>
                <w:szCs w:val="20"/>
                <w:lang w:val="en-US"/>
              </w:rPr>
            </w:pPr>
          </w:p>
        </w:tc>
      </w:tr>
      <w:tr w:rsidR="003C045B" w:rsidRPr="00EE294E" w14:paraId="26A635EE" w14:textId="77777777" w:rsidTr="004738EE">
        <w:trPr>
          <w:trHeight w:val="1875"/>
        </w:trPr>
        <w:tc>
          <w:tcPr>
            <w:tcW w:w="540" w:type="dxa"/>
          </w:tcPr>
          <w:p w14:paraId="37347107" w14:textId="4D5D7C68" w:rsidR="003C045B" w:rsidRPr="00EE294E" w:rsidRDefault="003C045B" w:rsidP="003C045B">
            <w:pPr>
              <w:jc w:val="both"/>
              <w:rPr>
                <w:rFonts w:ascii="Times New Roman" w:eastAsia="Calibri" w:hAnsi="Times New Roman" w:cs="Times New Roman"/>
                <w:sz w:val="20"/>
                <w:szCs w:val="20"/>
                <w:lang w:val="en-US"/>
              </w:rPr>
            </w:pPr>
          </w:p>
        </w:tc>
        <w:tc>
          <w:tcPr>
            <w:tcW w:w="5400" w:type="dxa"/>
          </w:tcPr>
          <w:p w14:paraId="6286CF99" w14:textId="77777777" w:rsidR="003C045B" w:rsidRPr="00EE294E" w:rsidRDefault="003C045B" w:rsidP="003C045B">
            <w:pPr>
              <w:shd w:val="clear" w:color="auto" w:fill="FFFFFF"/>
              <w:spacing w:before="120"/>
              <w:jc w:val="both"/>
              <w:rPr>
                <w:rFonts w:ascii="Times New Roman" w:eastAsia="Times New Roman" w:hAnsi="Times New Roman" w:cs="Times New Roman"/>
                <w:color w:val="333333"/>
                <w:sz w:val="20"/>
                <w:szCs w:val="20"/>
              </w:rPr>
            </w:pPr>
            <w:r w:rsidRPr="00EE294E">
              <w:rPr>
                <w:rFonts w:ascii="Times New Roman" w:eastAsia="Times New Roman" w:hAnsi="Times New Roman" w:cs="Times New Roman"/>
                <w:color w:val="333333"/>
                <w:sz w:val="20"/>
                <w:szCs w:val="20"/>
              </w:rPr>
              <w:t>1. Të dhënat që duhet të mbahen nga ofruesit e shërbimit të pagesave, sipas nenit 243b, duhet të përmbajnë informacionin e mëposhtëm:</w:t>
            </w:r>
          </w:p>
          <w:tbl>
            <w:tblPr>
              <w:tblW w:w="5000" w:type="pct"/>
              <w:tblLayout w:type="fixed"/>
              <w:tblCellMar>
                <w:left w:w="0" w:type="dxa"/>
                <w:right w:w="0" w:type="dxa"/>
              </w:tblCellMar>
              <w:tblLook w:val="04A0" w:firstRow="1" w:lastRow="0" w:firstColumn="1" w:lastColumn="0" w:noHBand="0" w:noVBand="1"/>
            </w:tblPr>
            <w:tblGrid>
              <w:gridCol w:w="156"/>
              <w:gridCol w:w="5028"/>
            </w:tblGrid>
            <w:tr w:rsidR="003C045B" w:rsidRPr="00EE294E" w14:paraId="55AA76C1" w14:textId="77777777" w:rsidTr="006C4222">
              <w:tc>
                <w:tcPr>
                  <w:tcW w:w="267" w:type="dxa"/>
                  <w:hideMark/>
                </w:tcPr>
                <w:p w14:paraId="68D70762" w14:textId="77777777" w:rsidR="003C045B" w:rsidRPr="00EE294E" w:rsidRDefault="003C045B" w:rsidP="003C045B">
                  <w:pPr>
                    <w:spacing w:before="120" w:after="0" w:line="240" w:lineRule="auto"/>
                    <w:jc w:val="both"/>
                    <w:rPr>
                      <w:rFonts w:ascii="Times New Roman" w:eastAsia="Times New Roman" w:hAnsi="Times New Roman" w:cs="Times New Roman"/>
                      <w:kern w:val="0"/>
                      <w:sz w:val="20"/>
                      <w:szCs w:val="20"/>
                      <w14:ligatures w14:val="none"/>
                    </w:rPr>
                  </w:pPr>
                  <w:r w:rsidRPr="00EE294E">
                    <w:rPr>
                      <w:rFonts w:ascii="Times New Roman" w:eastAsia="Times New Roman" w:hAnsi="Times New Roman" w:cs="Times New Roman"/>
                      <w:kern w:val="0"/>
                      <w:sz w:val="20"/>
                      <w:szCs w:val="20"/>
                      <w14:ligatures w14:val="none"/>
                    </w:rPr>
                    <w:t>(a)</w:t>
                  </w:r>
                </w:p>
              </w:tc>
              <w:tc>
                <w:tcPr>
                  <w:tcW w:w="9093" w:type="dxa"/>
                  <w:hideMark/>
                </w:tcPr>
                <w:p w14:paraId="1C431C89" w14:textId="77777777" w:rsidR="003C045B" w:rsidRPr="00EE294E" w:rsidRDefault="003C045B" w:rsidP="003C045B">
                  <w:pPr>
                    <w:spacing w:before="120" w:after="0" w:line="240" w:lineRule="auto"/>
                    <w:jc w:val="both"/>
                    <w:rPr>
                      <w:rFonts w:ascii="Times New Roman" w:eastAsia="Times New Roman" w:hAnsi="Times New Roman" w:cs="Times New Roman"/>
                      <w:kern w:val="0"/>
                      <w:sz w:val="20"/>
                      <w:szCs w:val="20"/>
                      <w14:ligatures w14:val="none"/>
                    </w:rPr>
                  </w:pPr>
                  <w:r w:rsidRPr="00EE294E">
                    <w:rPr>
                      <w:rFonts w:ascii="Times New Roman" w:eastAsia="Times New Roman" w:hAnsi="Times New Roman" w:cs="Times New Roman"/>
                      <w:kern w:val="0"/>
                      <w:sz w:val="20"/>
                      <w:szCs w:val="20"/>
                      <w14:ligatures w14:val="none"/>
                    </w:rPr>
                    <w:t>BIC-in ose çdo kod tjetër identifikues biznesi që identifikon në mënyrë të qartë ofruesin e shërbimit të pagesave;</w:t>
                  </w:r>
                </w:p>
              </w:tc>
            </w:tr>
          </w:tbl>
          <w:p w14:paraId="079AB2CB" w14:textId="77777777" w:rsidR="003C045B" w:rsidRPr="00EE294E" w:rsidRDefault="003C045B" w:rsidP="003C045B">
            <w:pPr>
              <w:shd w:val="clear" w:color="auto" w:fill="FFFFFF"/>
              <w:rPr>
                <w:rFonts w:ascii="Times New Roman" w:eastAsia="Times New Roman" w:hAnsi="Times New Roman" w:cs="Times New Roman"/>
                <w:vanish/>
                <w:color w:val="333333"/>
                <w:sz w:val="20"/>
                <w:szCs w:val="20"/>
              </w:rPr>
            </w:pPr>
          </w:p>
          <w:tbl>
            <w:tblPr>
              <w:tblW w:w="5000" w:type="pct"/>
              <w:tblLayout w:type="fixed"/>
              <w:tblCellMar>
                <w:left w:w="0" w:type="dxa"/>
                <w:right w:w="0" w:type="dxa"/>
              </w:tblCellMar>
              <w:tblLook w:val="04A0" w:firstRow="1" w:lastRow="0" w:firstColumn="1" w:lastColumn="0" w:noHBand="0" w:noVBand="1"/>
            </w:tblPr>
            <w:tblGrid>
              <w:gridCol w:w="164"/>
              <w:gridCol w:w="5020"/>
            </w:tblGrid>
            <w:tr w:rsidR="003C045B" w:rsidRPr="00EE294E" w14:paraId="6B6B1783" w14:textId="77777777" w:rsidTr="006C4222">
              <w:tc>
                <w:tcPr>
                  <w:tcW w:w="280" w:type="dxa"/>
                  <w:hideMark/>
                </w:tcPr>
                <w:p w14:paraId="54C9BFB4" w14:textId="77777777" w:rsidR="003C045B" w:rsidRPr="00EE294E" w:rsidRDefault="003C045B" w:rsidP="003C045B">
                  <w:pPr>
                    <w:spacing w:before="120" w:after="0" w:line="240" w:lineRule="auto"/>
                    <w:jc w:val="both"/>
                    <w:rPr>
                      <w:rFonts w:ascii="Times New Roman" w:eastAsia="Times New Roman" w:hAnsi="Times New Roman" w:cs="Times New Roman"/>
                      <w:kern w:val="0"/>
                      <w:sz w:val="20"/>
                      <w:szCs w:val="20"/>
                      <w14:ligatures w14:val="none"/>
                    </w:rPr>
                  </w:pPr>
                  <w:r w:rsidRPr="00EE294E">
                    <w:rPr>
                      <w:rFonts w:ascii="Times New Roman" w:eastAsia="Times New Roman" w:hAnsi="Times New Roman" w:cs="Times New Roman"/>
                      <w:kern w:val="0"/>
                      <w:sz w:val="20"/>
                      <w:szCs w:val="20"/>
                      <w14:ligatures w14:val="none"/>
                    </w:rPr>
                    <w:t>(b)</w:t>
                  </w:r>
                </w:p>
              </w:tc>
              <w:tc>
                <w:tcPr>
                  <w:tcW w:w="9080" w:type="dxa"/>
                  <w:hideMark/>
                </w:tcPr>
                <w:p w14:paraId="5ACC51CD" w14:textId="77777777" w:rsidR="003C045B" w:rsidRPr="00EE294E" w:rsidRDefault="003C045B" w:rsidP="003C045B">
                  <w:pPr>
                    <w:spacing w:before="120" w:after="0" w:line="240" w:lineRule="auto"/>
                    <w:jc w:val="both"/>
                    <w:rPr>
                      <w:rFonts w:ascii="Times New Roman" w:eastAsia="Times New Roman" w:hAnsi="Times New Roman" w:cs="Times New Roman"/>
                      <w:kern w:val="0"/>
                      <w:sz w:val="20"/>
                      <w:szCs w:val="20"/>
                      <w14:ligatures w14:val="none"/>
                    </w:rPr>
                  </w:pPr>
                  <w:r w:rsidRPr="00EE294E">
                    <w:rPr>
                      <w:rFonts w:ascii="Times New Roman" w:eastAsia="Times New Roman" w:hAnsi="Times New Roman" w:cs="Times New Roman"/>
                      <w:kern w:val="0"/>
                      <w:sz w:val="20"/>
                      <w:szCs w:val="20"/>
                      <w14:ligatures w14:val="none"/>
                    </w:rPr>
                    <w:t>emri ose emri i biznesit të përfituesit të pagesës, siç shfaqet në të dhënat e ofruesit të shërbimeve të pagesave;</w:t>
                  </w:r>
                </w:p>
              </w:tc>
            </w:tr>
          </w:tbl>
          <w:p w14:paraId="0671E7F7" w14:textId="77777777" w:rsidR="003C045B" w:rsidRPr="00EE294E" w:rsidRDefault="003C045B" w:rsidP="003C045B">
            <w:pPr>
              <w:shd w:val="clear" w:color="auto" w:fill="FFFFFF"/>
              <w:rPr>
                <w:rFonts w:ascii="Times New Roman" w:eastAsia="Times New Roman" w:hAnsi="Times New Roman" w:cs="Times New Roman"/>
                <w:vanish/>
                <w:color w:val="333333"/>
                <w:sz w:val="20"/>
                <w:szCs w:val="20"/>
              </w:rPr>
            </w:pPr>
          </w:p>
          <w:tbl>
            <w:tblPr>
              <w:tblW w:w="5000" w:type="pct"/>
              <w:tblLayout w:type="fixed"/>
              <w:tblCellMar>
                <w:left w:w="0" w:type="dxa"/>
                <w:right w:w="0" w:type="dxa"/>
              </w:tblCellMar>
              <w:tblLook w:val="04A0" w:firstRow="1" w:lastRow="0" w:firstColumn="1" w:lastColumn="0" w:noHBand="0" w:noVBand="1"/>
            </w:tblPr>
            <w:tblGrid>
              <w:gridCol w:w="170"/>
              <w:gridCol w:w="5014"/>
            </w:tblGrid>
            <w:tr w:rsidR="003C045B" w:rsidRPr="00EE294E" w14:paraId="3C9E1516" w14:textId="77777777" w:rsidTr="006C4222">
              <w:tc>
                <w:tcPr>
                  <w:tcW w:w="291" w:type="dxa"/>
                  <w:hideMark/>
                </w:tcPr>
                <w:p w14:paraId="5ADCAD72" w14:textId="77777777" w:rsidR="003C045B" w:rsidRPr="00EE294E" w:rsidRDefault="003C045B" w:rsidP="003C045B">
                  <w:pPr>
                    <w:spacing w:before="120" w:after="0" w:line="240" w:lineRule="auto"/>
                    <w:jc w:val="both"/>
                    <w:rPr>
                      <w:rFonts w:ascii="Times New Roman" w:eastAsia="Times New Roman" w:hAnsi="Times New Roman" w:cs="Times New Roman"/>
                      <w:kern w:val="0"/>
                      <w:sz w:val="20"/>
                      <w:szCs w:val="20"/>
                      <w14:ligatures w14:val="none"/>
                    </w:rPr>
                  </w:pPr>
                  <w:r w:rsidRPr="00EE294E">
                    <w:rPr>
                      <w:rFonts w:ascii="Times New Roman" w:eastAsia="Times New Roman" w:hAnsi="Times New Roman" w:cs="Times New Roman"/>
                      <w:kern w:val="0"/>
                      <w:sz w:val="20"/>
                      <w:szCs w:val="20"/>
                      <w14:ligatures w14:val="none"/>
                    </w:rPr>
                    <w:t>(c)</w:t>
                  </w:r>
                </w:p>
              </w:tc>
              <w:tc>
                <w:tcPr>
                  <w:tcW w:w="9069" w:type="dxa"/>
                  <w:hideMark/>
                </w:tcPr>
                <w:p w14:paraId="5EF6C986" w14:textId="77777777" w:rsidR="003C045B" w:rsidRPr="00EE294E" w:rsidRDefault="003C045B" w:rsidP="003C045B">
                  <w:pPr>
                    <w:spacing w:before="120" w:after="0" w:line="240" w:lineRule="auto"/>
                    <w:jc w:val="both"/>
                    <w:rPr>
                      <w:rFonts w:ascii="Times New Roman" w:eastAsia="Times New Roman" w:hAnsi="Times New Roman" w:cs="Times New Roman"/>
                      <w:kern w:val="0"/>
                      <w:sz w:val="20"/>
                      <w:szCs w:val="20"/>
                      <w14:ligatures w14:val="none"/>
                    </w:rPr>
                  </w:pPr>
                  <w:r w:rsidRPr="00EE294E">
                    <w:rPr>
                      <w:rFonts w:ascii="Times New Roman" w:eastAsia="Times New Roman" w:hAnsi="Times New Roman" w:cs="Times New Roman"/>
                      <w:kern w:val="0"/>
                      <w:sz w:val="20"/>
                      <w:szCs w:val="20"/>
                      <w14:ligatures w14:val="none"/>
                    </w:rPr>
                    <w:t>nëse është i disponueshëm, çdo numër identifikimi i TVSH-së ose një numër tjetër kombëtar tatimor i përfituesit të pagesës;</w:t>
                  </w:r>
                </w:p>
              </w:tc>
            </w:tr>
          </w:tbl>
          <w:p w14:paraId="179BCD0E" w14:textId="77777777" w:rsidR="003C045B" w:rsidRPr="00EE294E" w:rsidRDefault="003C045B" w:rsidP="003C045B">
            <w:pPr>
              <w:shd w:val="clear" w:color="auto" w:fill="FFFFFF"/>
              <w:rPr>
                <w:rFonts w:ascii="Times New Roman" w:eastAsia="Times New Roman" w:hAnsi="Times New Roman" w:cs="Times New Roman"/>
                <w:vanish/>
                <w:color w:val="333333"/>
                <w:sz w:val="20"/>
                <w:szCs w:val="20"/>
              </w:rPr>
            </w:pPr>
          </w:p>
          <w:tbl>
            <w:tblPr>
              <w:tblW w:w="5000" w:type="pct"/>
              <w:tblLayout w:type="fixed"/>
              <w:tblCellMar>
                <w:left w:w="0" w:type="dxa"/>
                <w:right w:w="0" w:type="dxa"/>
              </w:tblCellMar>
              <w:tblLook w:val="04A0" w:firstRow="1" w:lastRow="0" w:firstColumn="1" w:lastColumn="0" w:noHBand="0" w:noVBand="1"/>
            </w:tblPr>
            <w:tblGrid>
              <w:gridCol w:w="164"/>
              <w:gridCol w:w="5020"/>
            </w:tblGrid>
            <w:tr w:rsidR="003C045B" w:rsidRPr="00EE294E" w14:paraId="6EDB8696" w14:textId="77777777" w:rsidTr="006C4222">
              <w:tc>
                <w:tcPr>
                  <w:tcW w:w="280" w:type="dxa"/>
                  <w:hideMark/>
                </w:tcPr>
                <w:p w14:paraId="4F164051" w14:textId="77777777" w:rsidR="003C045B" w:rsidRPr="00EE294E" w:rsidRDefault="003C045B" w:rsidP="003C045B">
                  <w:pPr>
                    <w:spacing w:before="120" w:after="0" w:line="240" w:lineRule="auto"/>
                    <w:jc w:val="both"/>
                    <w:rPr>
                      <w:rFonts w:ascii="Times New Roman" w:eastAsia="Times New Roman" w:hAnsi="Times New Roman" w:cs="Times New Roman"/>
                      <w:kern w:val="0"/>
                      <w:sz w:val="20"/>
                      <w:szCs w:val="20"/>
                      <w14:ligatures w14:val="none"/>
                    </w:rPr>
                  </w:pPr>
                  <w:r w:rsidRPr="00EE294E">
                    <w:rPr>
                      <w:rFonts w:ascii="Times New Roman" w:eastAsia="Times New Roman" w:hAnsi="Times New Roman" w:cs="Times New Roman"/>
                      <w:kern w:val="0"/>
                      <w:sz w:val="20"/>
                      <w:szCs w:val="20"/>
                      <w14:ligatures w14:val="none"/>
                    </w:rPr>
                    <w:t>(d)</w:t>
                  </w:r>
                </w:p>
              </w:tc>
              <w:tc>
                <w:tcPr>
                  <w:tcW w:w="9080" w:type="dxa"/>
                  <w:hideMark/>
                </w:tcPr>
                <w:p w14:paraId="23AE400A" w14:textId="77777777" w:rsidR="003C045B" w:rsidRPr="00EE294E" w:rsidRDefault="003C045B" w:rsidP="003C045B">
                  <w:pPr>
                    <w:spacing w:before="120" w:after="0" w:line="240" w:lineRule="auto"/>
                    <w:jc w:val="both"/>
                    <w:rPr>
                      <w:rFonts w:ascii="Times New Roman" w:eastAsia="Times New Roman" w:hAnsi="Times New Roman" w:cs="Times New Roman"/>
                      <w:kern w:val="0"/>
                      <w:sz w:val="20"/>
                      <w:szCs w:val="20"/>
                      <w14:ligatures w14:val="none"/>
                    </w:rPr>
                  </w:pPr>
                  <w:r w:rsidRPr="00EE294E">
                    <w:rPr>
                      <w:rFonts w:ascii="Times New Roman" w:eastAsia="Times New Roman" w:hAnsi="Times New Roman" w:cs="Times New Roman"/>
                      <w:kern w:val="0"/>
                      <w:sz w:val="20"/>
                      <w:szCs w:val="20"/>
                      <w14:ligatures w14:val="none"/>
                    </w:rPr>
                    <w:t>IBAN-i ose, nëse IBAN-i nuk është i disponueshëm, çdo identifikues tjetër që identifikon në mënyrë të qartë përfituesin e pagesës dhe jep vendndodhjen e tij;</w:t>
                  </w:r>
                </w:p>
              </w:tc>
            </w:tr>
          </w:tbl>
          <w:p w14:paraId="76C72937" w14:textId="77777777" w:rsidR="003C045B" w:rsidRPr="00EE294E" w:rsidRDefault="003C045B" w:rsidP="003C045B">
            <w:pPr>
              <w:shd w:val="clear" w:color="auto" w:fill="FFFFFF"/>
              <w:rPr>
                <w:rFonts w:ascii="Times New Roman" w:eastAsia="Times New Roman" w:hAnsi="Times New Roman" w:cs="Times New Roman"/>
                <w:vanish/>
                <w:color w:val="333333"/>
                <w:sz w:val="20"/>
                <w:szCs w:val="20"/>
              </w:rPr>
            </w:pPr>
          </w:p>
          <w:tbl>
            <w:tblPr>
              <w:tblW w:w="5000" w:type="pct"/>
              <w:tblLayout w:type="fixed"/>
              <w:tblCellMar>
                <w:left w:w="0" w:type="dxa"/>
                <w:right w:w="0" w:type="dxa"/>
              </w:tblCellMar>
              <w:tblLook w:val="04A0" w:firstRow="1" w:lastRow="0" w:firstColumn="1" w:lastColumn="0" w:noHBand="0" w:noVBand="1"/>
            </w:tblPr>
            <w:tblGrid>
              <w:gridCol w:w="156"/>
              <w:gridCol w:w="5028"/>
            </w:tblGrid>
            <w:tr w:rsidR="003C045B" w:rsidRPr="00EE294E" w14:paraId="1637FC27" w14:textId="77777777" w:rsidTr="006C4222">
              <w:tc>
                <w:tcPr>
                  <w:tcW w:w="267" w:type="dxa"/>
                  <w:hideMark/>
                </w:tcPr>
                <w:p w14:paraId="51852594" w14:textId="77777777" w:rsidR="003C045B" w:rsidRPr="00EE294E" w:rsidRDefault="003C045B" w:rsidP="003C045B">
                  <w:pPr>
                    <w:spacing w:before="120" w:after="0" w:line="240" w:lineRule="auto"/>
                    <w:jc w:val="both"/>
                    <w:rPr>
                      <w:rFonts w:ascii="Times New Roman" w:eastAsia="Times New Roman" w:hAnsi="Times New Roman" w:cs="Times New Roman"/>
                      <w:kern w:val="0"/>
                      <w:sz w:val="20"/>
                      <w:szCs w:val="20"/>
                      <w14:ligatures w14:val="none"/>
                    </w:rPr>
                  </w:pPr>
                  <w:r w:rsidRPr="00EE294E">
                    <w:rPr>
                      <w:rFonts w:ascii="Times New Roman" w:eastAsia="Times New Roman" w:hAnsi="Times New Roman" w:cs="Times New Roman"/>
                      <w:kern w:val="0"/>
                      <w:sz w:val="20"/>
                      <w:szCs w:val="20"/>
                      <w14:ligatures w14:val="none"/>
                    </w:rPr>
                    <w:t>(e)</w:t>
                  </w:r>
                </w:p>
              </w:tc>
              <w:tc>
                <w:tcPr>
                  <w:tcW w:w="9093" w:type="dxa"/>
                  <w:hideMark/>
                </w:tcPr>
                <w:p w14:paraId="7BFF8FAE" w14:textId="77777777" w:rsidR="003C045B" w:rsidRPr="00EE294E" w:rsidRDefault="003C045B" w:rsidP="003C045B">
                  <w:pPr>
                    <w:spacing w:before="120" w:after="0" w:line="240" w:lineRule="auto"/>
                    <w:jc w:val="both"/>
                    <w:rPr>
                      <w:rFonts w:ascii="Times New Roman" w:eastAsia="Times New Roman" w:hAnsi="Times New Roman" w:cs="Times New Roman"/>
                      <w:kern w:val="0"/>
                      <w:sz w:val="20"/>
                      <w:szCs w:val="20"/>
                      <w14:ligatures w14:val="none"/>
                    </w:rPr>
                  </w:pPr>
                  <w:r w:rsidRPr="00EE294E">
                    <w:rPr>
                      <w:rFonts w:ascii="Times New Roman" w:eastAsia="Times New Roman" w:hAnsi="Times New Roman" w:cs="Times New Roman"/>
                      <w:kern w:val="0"/>
                      <w:sz w:val="20"/>
                      <w:szCs w:val="20"/>
                      <w14:ligatures w14:val="none"/>
                    </w:rPr>
                    <w:t xml:space="preserve">BIC-in ose çdo kod tjetër identifikues biznesi që identifikon në mënyrë të qartë dhe jep vendndodhjen e ofruesit të shërbimit të </w:t>
                  </w:r>
                  <w:r w:rsidRPr="00EE294E">
                    <w:rPr>
                      <w:rFonts w:ascii="Times New Roman" w:eastAsia="Times New Roman" w:hAnsi="Times New Roman" w:cs="Times New Roman"/>
                      <w:kern w:val="0"/>
                      <w:sz w:val="20"/>
                      <w:szCs w:val="20"/>
                      <w14:ligatures w14:val="none"/>
                    </w:rPr>
                    <w:lastRenderedPageBreak/>
                    <w:t>pagesave që vepron në emër të përfituesit të pagesës, kur përfituesi i pagesës merr fonde pa pasur ndonjë llogari pagese;</w:t>
                  </w:r>
                </w:p>
              </w:tc>
            </w:tr>
          </w:tbl>
          <w:p w14:paraId="7CD1140B" w14:textId="77777777" w:rsidR="003C045B" w:rsidRPr="00EE294E" w:rsidRDefault="003C045B" w:rsidP="003C045B">
            <w:pPr>
              <w:shd w:val="clear" w:color="auto" w:fill="FFFFFF"/>
              <w:rPr>
                <w:rFonts w:ascii="Times New Roman" w:eastAsia="Times New Roman" w:hAnsi="Times New Roman" w:cs="Times New Roman"/>
                <w:vanish/>
                <w:color w:val="333333"/>
                <w:sz w:val="20"/>
                <w:szCs w:val="20"/>
              </w:rPr>
            </w:pPr>
          </w:p>
          <w:tbl>
            <w:tblPr>
              <w:tblW w:w="5000" w:type="pct"/>
              <w:tblLayout w:type="fixed"/>
              <w:tblCellMar>
                <w:left w:w="0" w:type="dxa"/>
                <w:right w:w="0" w:type="dxa"/>
              </w:tblCellMar>
              <w:tblLook w:val="04A0" w:firstRow="1" w:lastRow="0" w:firstColumn="1" w:lastColumn="0" w:noHBand="0" w:noVBand="1"/>
            </w:tblPr>
            <w:tblGrid>
              <w:gridCol w:w="141"/>
              <w:gridCol w:w="5043"/>
            </w:tblGrid>
            <w:tr w:rsidR="003C045B" w:rsidRPr="00EE294E" w14:paraId="3B714FE8" w14:textId="77777777" w:rsidTr="006C4222">
              <w:tc>
                <w:tcPr>
                  <w:tcW w:w="240" w:type="dxa"/>
                  <w:hideMark/>
                </w:tcPr>
                <w:p w14:paraId="7BFAECD1" w14:textId="77777777" w:rsidR="003C045B" w:rsidRPr="00EE294E" w:rsidRDefault="003C045B" w:rsidP="003C045B">
                  <w:pPr>
                    <w:spacing w:before="120" w:after="0" w:line="240" w:lineRule="auto"/>
                    <w:jc w:val="both"/>
                    <w:rPr>
                      <w:rFonts w:ascii="Times New Roman" w:eastAsia="Times New Roman" w:hAnsi="Times New Roman" w:cs="Times New Roman"/>
                      <w:kern w:val="0"/>
                      <w:sz w:val="20"/>
                      <w:szCs w:val="20"/>
                      <w14:ligatures w14:val="none"/>
                    </w:rPr>
                  </w:pPr>
                  <w:r w:rsidRPr="00EE294E">
                    <w:rPr>
                      <w:rFonts w:ascii="Times New Roman" w:eastAsia="Times New Roman" w:hAnsi="Times New Roman" w:cs="Times New Roman"/>
                      <w:kern w:val="0"/>
                      <w:sz w:val="20"/>
                      <w:szCs w:val="20"/>
                      <w14:ligatures w14:val="none"/>
                    </w:rPr>
                    <w:t>(f)</w:t>
                  </w:r>
                </w:p>
              </w:tc>
              <w:tc>
                <w:tcPr>
                  <w:tcW w:w="9120" w:type="dxa"/>
                  <w:hideMark/>
                </w:tcPr>
                <w:p w14:paraId="645C13D2" w14:textId="77777777" w:rsidR="003C045B" w:rsidRPr="00EE294E" w:rsidRDefault="003C045B" w:rsidP="003C045B">
                  <w:pPr>
                    <w:spacing w:before="120" w:after="0" w:line="240" w:lineRule="auto"/>
                    <w:jc w:val="both"/>
                    <w:rPr>
                      <w:rFonts w:ascii="Times New Roman" w:eastAsia="Times New Roman" w:hAnsi="Times New Roman" w:cs="Times New Roman"/>
                      <w:kern w:val="0"/>
                      <w:sz w:val="20"/>
                      <w:szCs w:val="20"/>
                      <w14:ligatures w14:val="none"/>
                    </w:rPr>
                  </w:pPr>
                  <w:r w:rsidRPr="00EE294E">
                    <w:rPr>
                      <w:rFonts w:ascii="Times New Roman" w:eastAsia="Times New Roman" w:hAnsi="Times New Roman" w:cs="Times New Roman"/>
                      <w:kern w:val="0"/>
                      <w:sz w:val="20"/>
                      <w:szCs w:val="20"/>
                      <w14:ligatures w14:val="none"/>
                    </w:rPr>
                    <w:t>nëse është e disponueshme, adresa e përfituesit të pagesës siç shfaqet në të dhënat e ofruesit të shërbimeve të pagesave;</w:t>
                  </w:r>
                </w:p>
              </w:tc>
            </w:tr>
          </w:tbl>
          <w:p w14:paraId="05135159" w14:textId="77777777" w:rsidR="003C045B" w:rsidRPr="00EE294E" w:rsidRDefault="003C045B" w:rsidP="003C045B">
            <w:pPr>
              <w:shd w:val="clear" w:color="auto" w:fill="FFFFFF"/>
              <w:rPr>
                <w:rFonts w:ascii="Times New Roman" w:eastAsia="Times New Roman" w:hAnsi="Times New Roman" w:cs="Times New Roman"/>
                <w:vanish/>
                <w:color w:val="333333"/>
                <w:sz w:val="20"/>
                <w:szCs w:val="20"/>
              </w:rPr>
            </w:pPr>
          </w:p>
          <w:tbl>
            <w:tblPr>
              <w:tblW w:w="5000" w:type="pct"/>
              <w:tblLayout w:type="fixed"/>
              <w:tblCellMar>
                <w:left w:w="0" w:type="dxa"/>
                <w:right w:w="0" w:type="dxa"/>
              </w:tblCellMar>
              <w:tblLook w:val="04A0" w:firstRow="1" w:lastRow="0" w:firstColumn="1" w:lastColumn="0" w:noHBand="0" w:noVBand="1"/>
            </w:tblPr>
            <w:tblGrid>
              <w:gridCol w:w="208"/>
              <w:gridCol w:w="4976"/>
            </w:tblGrid>
            <w:tr w:rsidR="003C045B" w:rsidRPr="00EE294E" w14:paraId="615FF9D0" w14:textId="77777777" w:rsidTr="006C4222">
              <w:tc>
                <w:tcPr>
                  <w:tcW w:w="361" w:type="dxa"/>
                  <w:hideMark/>
                </w:tcPr>
                <w:p w14:paraId="5124838B" w14:textId="77777777" w:rsidR="003C045B" w:rsidRPr="00EE294E" w:rsidRDefault="003C045B" w:rsidP="003C045B">
                  <w:pPr>
                    <w:spacing w:before="120" w:after="0" w:line="240" w:lineRule="auto"/>
                    <w:jc w:val="both"/>
                    <w:rPr>
                      <w:rFonts w:ascii="Times New Roman" w:eastAsia="Times New Roman" w:hAnsi="Times New Roman" w:cs="Times New Roman"/>
                      <w:kern w:val="0"/>
                      <w:sz w:val="20"/>
                      <w:szCs w:val="20"/>
                      <w14:ligatures w14:val="none"/>
                    </w:rPr>
                  </w:pPr>
                  <w:r w:rsidRPr="00EE294E">
                    <w:rPr>
                      <w:rFonts w:ascii="Times New Roman" w:eastAsia="Times New Roman" w:hAnsi="Times New Roman" w:cs="Times New Roman"/>
                      <w:kern w:val="0"/>
                      <w:sz w:val="20"/>
                      <w:szCs w:val="20"/>
                      <w14:ligatures w14:val="none"/>
                    </w:rPr>
                    <w:t>(g)</w:t>
                  </w:r>
                </w:p>
              </w:tc>
              <w:tc>
                <w:tcPr>
                  <w:tcW w:w="8999" w:type="dxa"/>
                  <w:hideMark/>
                </w:tcPr>
                <w:p w14:paraId="00D75EE4" w14:textId="77777777" w:rsidR="003C045B" w:rsidRPr="00EE294E" w:rsidRDefault="003C045B" w:rsidP="003C045B">
                  <w:pPr>
                    <w:spacing w:before="120" w:after="0" w:line="240" w:lineRule="auto"/>
                    <w:jc w:val="both"/>
                    <w:rPr>
                      <w:rFonts w:ascii="Times New Roman" w:eastAsia="Times New Roman" w:hAnsi="Times New Roman" w:cs="Times New Roman"/>
                      <w:kern w:val="0"/>
                      <w:sz w:val="20"/>
                      <w:szCs w:val="20"/>
                      <w14:ligatures w14:val="none"/>
                    </w:rPr>
                  </w:pPr>
                  <w:r w:rsidRPr="00EE294E">
                    <w:rPr>
                      <w:rFonts w:ascii="Times New Roman" w:eastAsia="Times New Roman" w:hAnsi="Times New Roman" w:cs="Times New Roman"/>
                      <w:kern w:val="0"/>
                      <w:sz w:val="20"/>
                      <w:szCs w:val="20"/>
                      <w14:ligatures w14:val="none"/>
                    </w:rPr>
                    <w:t>detajet e çdo pagese ndërkufitare siç përmendet në nenin 243b(1);</w:t>
                  </w:r>
                </w:p>
              </w:tc>
            </w:tr>
          </w:tbl>
          <w:p w14:paraId="39FF881E" w14:textId="77777777" w:rsidR="003C045B" w:rsidRPr="00EE294E" w:rsidRDefault="003C045B" w:rsidP="003C045B">
            <w:pPr>
              <w:shd w:val="clear" w:color="auto" w:fill="FFFFFF"/>
              <w:rPr>
                <w:rFonts w:ascii="Times New Roman" w:eastAsia="Times New Roman" w:hAnsi="Times New Roman" w:cs="Times New Roman"/>
                <w:vanish/>
                <w:color w:val="333333"/>
                <w:sz w:val="20"/>
                <w:szCs w:val="20"/>
              </w:rPr>
            </w:pPr>
          </w:p>
          <w:tbl>
            <w:tblPr>
              <w:tblW w:w="5000" w:type="pct"/>
              <w:tblLayout w:type="fixed"/>
              <w:tblCellMar>
                <w:left w:w="0" w:type="dxa"/>
                <w:right w:w="0" w:type="dxa"/>
              </w:tblCellMar>
              <w:tblLook w:val="04A0" w:firstRow="1" w:lastRow="0" w:firstColumn="1" w:lastColumn="0" w:noHBand="0" w:noVBand="1"/>
            </w:tblPr>
            <w:tblGrid>
              <w:gridCol w:w="164"/>
              <w:gridCol w:w="5020"/>
            </w:tblGrid>
            <w:tr w:rsidR="003C045B" w:rsidRPr="00EE294E" w14:paraId="0A52B5FE" w14:textId="77777777" w:rsidTr="006C4222">
              <w:tc>
                <w:tcPr>
                  <w:tcW w:w="280" w:type="dxa"/>
                  <w:hideMark/>
                </w:tcPr>
                <w:p w14:paraId="1B15A6E4" w14:textId="77777777" w:rsidR="003C045B" w:rsidRPr="00EE294E" w:rsidRDefault="003C045B" w:rsidP="003C045B">
                  <w:pPr>
                    <w:spacing w:before="120" w:after="0" w:line="240" w:lineRule="auto"/>
                    <w:jc w:val="both"/>
                    <w:rPr>
                      <w:rFonts w:ascii="Times New Roman" w:eastAsia="Times New Roman" w:hAnsi="Times New Roman" w:cs="Times New Roman"/>
                      <w:kern w:val="0"/>
                      <w:sz w:val="20"/>
                      <w:szCs w:val="20"/>
                      <w14:ligatures w14:val="none"/>
                    </w:rPr>
                  </w:pPr>
                  <w:r w:rsidRPr="00EE294E">
                    <w:rPr>
                      <w:rFonts w:ascii="Times New Roman" w:eastAsia="Times New Roman" w:hAnsi="Times New Roman" w:cs="Times New Roman"/>
                      <w:kern w:val="0"/>
                      <w:sz w:val="20"/>
                      <w:szCs w:val="20"/>
                      <w14:ligatures w14:val="none"/>
                    </w:rPr>
                    <w:t>(h)</w:t>
                  </w:r>
                </w:p>
              </w:tc>
              <w:tc>
                <w:tcPr>
                  <w:tcW w:w="9080" w:type="dxa"/>
                  <w:hideMark/>
                </w:tcPr>
                <w:p w14:paraId="28B030F3" w14:textId="77777777" w:rsidR="003C045B" w:rsidRPr="00EE294E" w:rsidRDefault="003C045B" w:rsidP="003C045B">
                  <w:pPr>
                    <w:spacing w:before="120" w:after="0" w:line="240" w:lineRule="auto"/>
                    <w:jc w:val="both"/>
                    <w:rPr>
                      <w:rFonts w:ascii="Times New Roman" w:eastAsia="Times New Roman" w:hAnsi="Times New Roman" w:cs="Times New Roman"/>
                      <w:kern w:val="0"/>
                      <w:sz w:val="20"/>
                      <w:szCs w:val="20"/>
                      <w14:ligatures w14:val="none"/>
                    </w:rPr>
                  </w:pPr>
                  <w:r w:rsidRPr="00EE294E">
                    <w:rPr>
                      <w:rFonts w:ascii="Times New Roman" w:eastAsia="Times New Roman" w:hAnsi="Times New Roman" w:cs="Times New Roman"/>
                      <w:kern w:val="0"/>
                      <w:sz w:val="20"/>
                      <w:szCs w:val="20"/>
                      <w14:ligatures w14:val="none"/>
                    </w:rPr>
                    <w:t>detajet e çdo rimbursimi pagese të identifikuar si të lidhur me pagesat ndërkufitare të përmendura në pikën (g).</w:t>
                  </w:r>
                </w:p>
              </w:tc>
            </w:tr>
          </w:tbl>
          <w:p w14:paraId="221C9157" w14:textId="77777777" w:rsidR="003C045B" w:rsidRPr="00EE294E" w:rsidRDefault="003C045B" w:rsidP="003C045B">
            <w:pPr>
              <w:shd w:val="clear" w:color="auto" w:fill="FFFFFF"/>
              <w:spacing w:before="120"/>
              <w:jc w:val="both"/>
              <w:rPr>
                <w:rFonts w:ascii="Times New Roman" w:eastAsia="Times New Roman" w:hAnsi="Times New Roman" w:cs="Times New Roman"/>
                <w:color w:val="333333"/>
                <w:sz w:val="20"/>
                <w:szCs w:val="20"/>
              </w:rPr>
            </w:pPr>
            <w:r w:rsidRPr="00EE294E">
              <w:rPr>
                <w:rFonts w:ascii="Times New Roman" w:eastAsia="Times New Roman" w:hAnsi="Times New Roman" w:cs="Times New Roman"/>
                <w:color w:val="333333"/>
                <w:sz w:val="20"/>
                <w:szCs w:val="20"/>
              </w:rPr>
              <w:t>2. Informacioni i përmendur në pikat (g) dhe (h) të paragrafit 1 duhet të përmbajë detajet e mëposhtme:</w:t>
            </w:r>
          </w:p>
          <w:tbl>
            <w:tblPr>
              <w:tblW w:w="5000" w:type="pct"/>
              <w:tblLayout w:type="fixed"/>
              <w:tblCellMar>
                <w:left w:w="0" w:type="dxa"/>
                <w:right w:w="0" w:type="dxa"/>
              </w:tblCellMar>
              <w:tblLook w:val="04A0" w:firstRow="1" w:lastRow="0" w:firstColumn="1" w:lastColumn="0" w:noHBand="0" w:noVBand="1"/>
            </w:tblPr>
            <w:tblGrid>
              <w:gridCol w:w="242"/>
              <w:gridCol w:w="4942"/>
            </w:tblGrid>
            <w:tr w:rsidR="003C045B" w:rsidRPr="00EE294E" w14:paraId="5CC6756A" w14:textId="77777777" w:rsidTr="006C4222">
              <w:tc>
                <w:tcPr>
                  <w:tcW w:w="422" w:type="dxa"/>
                  <w:hideMark/>
                </w:tcPr>
                <w:p w14:paraId="3D0075B2" w14:textId="77777777" w:rsidR="003C045B" w:rsidRPr="00EE294E" w:rsidRDefault="003C045B" w:rsidP="003C045B">
                  <w:pPr>
                    <w:spacing w:before="120" w:after="0" w:line="240" w:lineRule="auto"/>
                    <w:jc w:val="both"/>
                    <w:rPr>
                      <w:rFonts w:ascii="Times New Roman" w:eastAsia="Times New Roman" w:hAnsi="Times New Roman" w:cs="Times New Roman"/>
                      <w:kern w:val="0"/>
                      <w:sz w:val="20"/>
                      <w:szCs w:val="20"/>
                      <w14:ligatures w14:val="none"/>
                    </w:rPr>
                  </w:pPr>
                  <w:r w:rsidRPr="00EE294E">
                    <w:rPr>
                      <w:rFonts w:ascii="Times New Roman" w:eastAsia="Times New Roman" w:hAnsi="Times New Roman" w:cs="Times New Roman"/>
                      <w:kern w:val="0"/>
                      <w:sz w:val="20"/>
                      <w:szCs w:val="20"/>
                      <w14:ligatures w14:val="none"/>
                    </w:rPr>
                    <w:t>(a)</w:t>
                  </w:r>
                </w:p>
              </w:tc>
              <w:tc>
                <w:tcPr>
                  <w:tcW w:w="8938" w:type="dxa"/>
                  <w:hideMark/>
                </w:tcPr>
                <w:p w14:paraId="55B00541" w14:textId="77777777" w:rsidR="003C045B" w:rsidRPr="00EE294E" w:rsidRDefault="003C045B" w:rsidP="003C045B">
                  <w:pPr>
                    <w:spacing w:before="120" w:after="0" w:line="240" w:lineRule="auto"/>
                    <w:jc w:val="both"/>
                    <w:rPr>
                      <w:rFonts w:ascii="Times New Roman" w:eastAsia="Times New Roman" w:hAnsi="Times New Roman" w:cs="Times New Roman"/>
                      <w:kern w:val="0"/>
                      <w:sz w:val="20"/>
                      <w:szCs w:val="20"/>
                      <w14:ligatures w14:val="none"/>
                    </w:rPr>
                  </w:pPr>
                  <w:r w:rsidRPr="00EE294E">
                    <w:rPr>
                      <w:rFonts w:ascii="Times New Roman" w:eastAsia="Times New Roman" w:hAnsi="Times New Roman" w:cs="Times New Roman"/>
                      <w:kern w:val="0"/>
                      <w:sz w:val="20"/>
                      <w:szCs w:val="20"/>
                      <w14:ligatures w14:val="none"/>
                    </w:rPr>
                    <w:t>datën dhe orën e pagesës ose të rimbursimit të pagesës;</w:t>
                  </w:r>
                </w:p>
              </w:tc>
            </w:tr>
          </w:tbl>
          <w:p w14:paraId="44934570" w14:textId="77777777" w:rsidR="003C045B" w:rsidRPr="00EE294E" w:rsidRDefault="003C045B" w:rsidP="003C045B">
            <w:pPr>
              <w:shd w:val="clear" w:color="auto" w:fill="FFFFFF"/>
              <w:rPr>
                <w:rFonts w:ascii="Times New Roman" w:eastAsia="Times New Roman" w:hAnsi="Times New Roman" w:cs="Times New Roman"/>
                <w:vanish/>
                <w:color w:val="333333"/>
                <w:sz w:val="20"/>
                <w:szCs w:val="20"/>
              </w:rPr>
            </w:pPr>
          </w:p>
          <w:tbl>
            <w:tblPr>
              <w:tblW w:w="5000" w:type="pct"/>
              <w:tblLayout w:type="fixed"/>
              <w:tblCellMar>
                <w:left w:w="0" w:type="dxa"/>
                <w:right w:w="0" w:type="dxa"/>
              </w:tblCellMar>
              <w:tblLook w:val="04A0" w:firstRow="1" w:lastRow="0" w:firstColumn="1" w:lastColumn="0" w:noHBand="0" w:noVBand="1"/>
            </w:tblPr>
            <w:tblGrid>
              <w:gridCol w:w="215"/>
              <w:gridCol w:w="4969"/>
            </w:tblGrid>
            <w:tr w:rsidR="003C045B" w:rsidRPr="00EE294E" w14:paraId="5587CC3C" w14:textId="77777777" w:rsidTr="006C4222">
              <w:tc>
                <w:tcPr>
                  <w:tcW w:w="373" w:type="dxa"/>
                  <w:hideMark/>
                </w:tcPr>
                <w:p w14:paraId="60DBC309" w14:textId="77777777" w:rsidR="003C045B" w:rsidRPr="00EE294E" w:rsidRDefault="003C045B" w:rsidP="003C045B">
                  <w:pPr>
                    <w:spacing w:before="120" w:after="0" w:line="240" w:lineRule="auto"/>
                    <w:jc w:val="both"/>
                    <w:rPr>
                      <w:rFonts w:ascii="Times New Roman" w:eastAsia="Times New Roman" w:hAnsi="Times New Roman" w:cs="Times New Roman"/>
                      <w:kern w:val="0"/>
                      <w:sz w:val="20"/>
                      <w:szCs w:val="20"/>
                      <w14:ligatures w14:val="none"/>
                    </w:rPr>
                  </w:pPr>
                  <w:r w:rsidRPr="00EE294E">
                    <w:rPr>
                      <w:rFonts w:ascii="Times New Roman" w:eastAsia="Times New Roman" w:hAnsi="Times New Roman" w:cs="Times New Roman"/>
                      <w:kern w:val="0"/>
                      <w:sz w:val="20"/>
                      <w:szCs w:val="20"/>
                      <w14:ligatures w14:val="none"/>
                    </w:rPr>
                    <w:t>(b)</w:t>
                  </w:r>
                </w:p>
              </w:tc>
              <w:tc>
                <w:tcPr>
                  <w:tcW w:w="8987" w:type="dxa"/>
                  <w:hideMark/>
                </w:tcPr>
                <w:p w14:paraId="69D618F1" w14:textId="77777777" w:rsidR="003C045B" w:rsidRPr="00EE294E" w:rsidRDefault="003C045B" w:rsidP="003C045B">
                  <w:pPr>
                    <w:spacing w:before="120" w:after="0" w:line="240" w:lineRule="auto"/>
                    <w:jc w:val="both"/>
                    <w:rPr>
                      <w:rFonts w:ascii="Times New Roman" w:eastAsia="Times New Roman" w:hAnsi="Times New Roman" w:cs="Times New Roman"/>
                      <w:kern w:val="0"/>
                      <w:sz w:val="20"/>
                      <w:szCs w:val="20"/>
                      <w14:ligatures w14:val="none"/>
                    </w:rPr>
                  </w:pPr>
                  <w:r w:rsidRPr="00EE294E">
                    <w:rPr>
                      <w:rFonts w:ascii="Times New Roman" w:eastAsia="Times New Roman" w:hAnsi="Times New Roman" w:cs="Times New Roman"/>
                      <w:kern w:val="0"/>
                      <w:sz w:val="20"/>
                      <w:szCs w:val="20"/>
                      <w14:ligatures w14:val="none"/>
                    </w:rPr>
                    <w:t>shumën dhe monedhën e pagesës ose të rimbursimit të pagesës;</w:t>
                  </w:r>
                </w:p>
              </w:tc>
            </w:tr>
          </w:tbl>
          <w:p w14:paraId="55B30F35" w14:textId="77777777" w:rsidR="003C045B" w:rsidRPr="00EE294E" w:rsidRDefault="003C045B" w:rsidP="003C045B">
            <w:pPr>
              <w:shd w:val="clear" w:color="auto" w:fill="FFFFFF"/>
              <w:rPr>
                <w:rFonts w:ascii="Times New Roman" w:eastAsia="Times New Roman" w:hAnsi="Times New Roman" w:cs="Times New Roman"/>
                <w:vanish/>
                <w:color w:val="333333"/>
                <w:sz w:val="20"/>
                <w:szCs w:val="20"/>
              </w:rPr>
            </w:pPr>
          </w:p>
          <w:tbl>
            <w:tblPr>
              <w:tblW w:w="5000" w:type="pct"/>
              <w:tblLayout w:type="fixed"/>
              <w:tblCellMar>
                <w:left w:w="0" w:type="dxa"/>
                <w:right w:w="0" w:type="dxa"/>
              </w:tblCellMar>
              <w:tblLook w:val="04A0" w:firstRow="1" w:lastRow="0" w:firstColumn="1" w:lastColumn="0" w:noHBand="0" w:noVBand="1"/>
            </w:tblPr>
            <w:tblGrid>
              <w:gridCol w:w="156"/>
              <w:gridCol w:w="5028"/>
            </w:tblGrid>
            <w:tr w:rsidR="003C045B" w:rsidRPr="00EE294E" w14:paraId="020FA068" w14:textId="77777777" w:rsidTr="006C4222">
              <w:tc>
                <w:tcPr>
                  <w:tcW w:w="267" w:type="dxa"/>
                  <w:hideMark/>
                </w:tcPr>
                <w:p w14:paraId="515B564B" w14:textId="77777777" w:rsidR="003C045B" w:rsidRPr="00EE294E" w:rsidRDefault="003C045B" w:rsidP="003C045B">
                  <w:pPr>
                    <w:spacing w:before="120" w:after="0" w:line="240" w:lineRule="auto"/>
                    <w:jc w:val="both"/>
                    <w:rPr>
                      <w:rFonts w:ascii="Times New Roman" w:eastAsia="Times New Roman" w:hAnsi="Times New Roman" w:cs="Times New Roman"/>
                      <w:kern w:val="0"/>
                      <w:sz w:val="20"/>
                      <w:szCs w:val="20"/>
                      <w14:ligatures w14:val="none"/>
                    </w:rPr>
                  </w:pPr>
                  <w:r w:rsidRPr="00EE294E">
                    <w:rPr>
                      <w:rFonts w:ascii="Times New Roman" w:eastAsia="Times New Roman" w:hAnsi="Times New Roman" w:cs="Times New Roman"/>
                      <w:kern w:val="0"/>
                      <w:sz w:val="20"/>
                      <w:szCs w:val="20"/>
                      <w14:ligatures w14:val="none"/>
                    </w:rPr>
                    <w:t>(c)</w:t>
                  </w:r>
                </w:p>
              </w:tc>
              <w:tc>
                <w:tcPr>
                  <w:tcW w:w="9093" w:type="dxa"/>
                  <w:hideMark/>
                </w:tcPr>
                <w:p w14:paraId="380A669F" w14:textId="77777777" w:rsidR="003C045B" w:rsidRPr="00EE294E" w:rsidRDefault="003C045B" w:rsidP="003C045B">
                  <w:pPr>
                    <w:spacing w:before="120" w:after="0" w:line="240" w:lineRule="auto"/>
                    <w:jc w:val="both"/>
                    <w:rPr>
                      <w:rFonts w:ascii="Times New Roman" w:eastAsia="Times New Roman" w:hAnsi="Times New Roman" w:cs="Times New Roman"/>
                      <w:kern w:val="0"/>
                      <w:sz w:val="20"/>
                      <w:szCs w:val="20"/>
                      <w14:ligatures w14:val="none"/>
                    </w:rPr>
                  </w:pPr>
                  <w:r w:rsidRPr="00EE294E">
                    <w:rPr>
                      <w:rFonts w:ascii="Times New Roman" w:eastAsia="Times New Roman" w:hAnsi="Times New Roman" w:cs="Times New Roman"/>
                      <w:kern w:val="0"/>
                      <w:sz w:val="20"/>
                      <w:szCs w:val="20"/>
                      <w14:ligatures w14:val="none"/>
                    </w:rPr>
                    <w:t>Shteti Anëtar i origjinës së pagesës së marrë nga ose në emër të përfituesit të pagesës, Shteti Anëtar i destinacionit të rimbursimit, sipas rastit, dhe informacioni i përdorur për të përcaktuar origjinën ose destinacionin e pagesës ose të rimbursimit të pagesës në përputhje me nenin 243c;</w:t>
                  </w:r>
                </w:p>
              </w:tc>
            </w:tr>
          </w:tbl>
          <w:p w14:paraId="2C896390" w14:textId="77777777" w:rsidR="003C045B" w:rsidRPr="00EE294E" w:rsidRDefault="003C045B" w:rsidP="003C045B">
            <w:pPr>
              <w:shd w:val="clear" w:color="auto" w:fill="FFFFFF"/>
              <w:rPr>
                <w:rFonts w:ascii="Times New Roman" w:eastAsia="Times New Roman" w:hAnsi="Times New Roman" w:cs="Times New Roman"/>
                <w:vanish/>
                <w:color w:val="333333"/>
                <w:sz w:val="20"/>
                <w:szCs w:val="20"/>
              </w:rPr>
            </w:pPr>
          </w:p>
          <w:tbl>
            <w:tblPr>
              <w:tblW w:w="5000" w:type="pct"/>
              <w:tblLayout w:type="fixed"/>
              <w:tblCellMar>
                <w:left w:w="0" w:type="dxa"/>
                <w:right w:w="0" w:type="dxa"/>
              </w:tblCellMar>
              <w:tblLook w:val="04A0" w:firstRow="1" w:lastRow="0" w:firstColumn="1" w:lastColumn="0" w:noHBand="0" w:noVBand="1"/>
            </w:tblPr>
            <w:tblGrid>
              <w:gridCol w:w="249"/>
              <w:gridCol w:w="4935"/>
            </w:tblGrid>
            <w:tr w:rsidR="003C045B" w:rsidRPr="00EE294E" w14:paraId="714882C6" w14:textId="77777777" w:rsidTr="006C4222">
              <w:tc>
                <w:tcPr>
                  <w:tcW w:w="435" w:type="dxa"/>
                  <w:hideMark/>
                </w:tcPr>
                <w:p w14:paraId="2DBD647B" w14:textId="77777777" w:rsidR="003C045B" w:rsidRPr="00EE294E" w:rsidRDefault="003C045B" w:rsidP="003C045B">
                  <w:pPr>
                    <w:spacing w:before="120" w:after="0" w:line="240" w:lineRule="auto"/>
                    <w:jc w:val="both"/>
                    <w:rPr>
                      <w:rFonts w:ascii="Times New Roman" w:eastAsia="Times New Roman" w:hAnsi="Times New Roman" w:cs="Times New Roman"/>
                      <w:kern w:val="0"/>
                      <w:sz w:val="20"/>
                      <w:szCs w:val="20"/>
                      <w14:ligatures w14:val="none"/>
                    </w:rPr>
                  </w:pPr>
                  <w:r w:rsidRPr="00EE294E">
                    <w:rPr>
                      <w:rFonts w:ascii="Times New Roman" w:eastAsia="Times New Roman" w:hAnsi="Times New Roman" w:cs="Times New Roman"/>
                      <w:kern w:val="0"/>
                      <w:sz w:val="20"/>
                      <w:szCs w:val="20"/>
                      <w14:ligatures w14:val="none"/>
                    </w:rPr>
                    <w:t>(d)</w:t>
                  </w:r>
                </w:p>
              </w:tc>
              <w:tc>
                <w:tcPr>
                  <w:tcW w:w="8925" w:type="dxa"/>
                  <w:hideMark/>
                </w:tcPr>
                <w:p w14:paraId="55C49301" w14:textId="77777777" w:rsidR="003C045B" w:rsidRPr="00EE294E" w:rsidRDefault="003C045B" w:rsidP="003C045B">
                  <w:pPr>
                    <w:spacing w:before="120" w:after="0" w:line="240" w:lineRule="auto"/>
                    <w:jc w:val="both"/>
                    <w:rPr>
                      <w:rFonts w:ascii="Times New Roman" w:eastAsia="Times New Roman" w:hAnsi="Times New Roman" w:cs="Times New Roman"/>
                      <w:kern w:val="0"/>
                      <w:sz w:val="20"/>
                      <w:szCs w:val="20"/>
                      <w14:ligatures w14:val="none"/>
                    </w:rPr>
                  </w:pPr>
                  <w:r w:rsidRPr="00EE294E">
                    <w:rPr>
                      <w:rFonts w:ascii="Times New Roman" w:eastAsia="Times New Roman" w:hAnsi="Times New Roman" w:cs="Times New Roman"/>
                      <w:kern w:val="0"/>
                      <w:sz w:val="20"/>
                      <w:szCs w:val="20"/>
                      <w14:ligatures w14:val="none"/>
                    </w:rPr>
                    <w:t>çdo referencë që identifikon në mënyrë të qartë pagesën;</w:t>
                  </w:r>
                </w:p>
              </w:tc>
            </w:tr>
          </w:tbl>
          <w:p w14:paraId="05CDD7F9" w14:textId="77777777" w:rsidR="003C045B" w:rsidRPr="00EE294E" w:rsidRDefault="003C045B" w:rsidP="003C045B">
            <w:pPr>
              <w:shd w:val="clear" w:color="auto" w:fill="FFFFFF"/>
              <w:rPr>
                <w:rFonts w:ascii="Times New Roman" w:eastAsia="Times New Roman" w:hAnsi="Times New Roman" w:cs="Times New Roman"/>
                <w:vanish/>
                <w:color w:val="333333"/>
                <w:sz w:val="20"/>
                <w:szCs w:val="20"/>
              </w:rPr>
            </w:pPr>
          </w:p>
          <w:tbl>
            <w:tblPr>
              <w:tblW w:w="5000" w:type="pct"/>
              <w:tblLayout w:type="fixed"/>
              <w:tblCellMar>
                <w:left w:w="0" w:type="dxa"/>
                <w:right w:w="0" w:type="dxa"/>
              </w:tblCellMar>
              <w:tblLook w:val="04A0" w:firstRow="1" w:lastRow="0" w:firstColumn="1" w:lastColumn="0" w:noHBand="0" w:noVBand="1"/>
            </w:tblPr>
            <w:tblGrid>
              <w:gridCol w:w="156"/>
              <w:gridCol w:w="5028"/>
            </w:tblGrid>
            <w:tr w:rsidR="003C045B" w:rsidRPr="00EE294E" w14:paraId="0238E7BA" w14:textId="77777777" w:rsidTr="006C4222">
              <w:tc>
                <w:tcPr>
                  <w:tcW w:w="267" w:type="dxa"/>
                  <w:hideMark/>
                </w:tcPr>
                <w:p w14:paraId="44E3309E" w14:textId="77777777" w:rsidR="003C045B" w:rsidRPr="00EE294E" w:rsidRDefault="003C045B" w:rsidP="003C045B">
                  <w:pPr>
                    <w:spacing w:before="120" w:after="0" w:line="240" w:lineRule="auto"/>
                    <w:jc w:val="both"/>
                    <w:rPr>
                      <w:rFonts w:ascii="Times New Roman" w:eastAsia="Times New Roman" w:hAnsi="Times New Roman" w:cs="Times New Roman"/>
                      <w:kern w:val="0"/>
                      <w:sz w:val="20"/>
                      <w:szCs w:val="20"/>
                      <w14:ligatures w14:val="none"/>
                    </w:rPr>
                  </w:pPr>
                  <w:r w:rsidRPr="00EE294E">
                    <w:rPr>
                      <w:rFonts w:ascii="Times New Roman" w:eastAsia="Times New Roman" w:hAnsi="Times New Roman" w:cs="Times New Roman"/>
                      <w:kern w:val="0"/>
                      <w:sz w:val="20"/>
                      <w:szCs w:val="20"/>
                      <w14:ligatures w14:val="none"/>
                    </w:rPr>
                    <w:t>(e)</w:t>
                  </w:r>
                </w:p>
              </w:tc>
              <w:tc>
                <w:tcPr>
                  <w:tcW w:w="9093" w:type="dxa"/>
                  <w:hideMark/>
                </w:tcPr>
                <w:p w14:paraId="5ACCE9F9" w14:textId="77777777" w:rsidR="003C045B" w:rsidRPr="00EE294E" w:rsidRDefault="003C045B" w:rsidP="003C045B">
                  <w:pPr>
                    <w:spacing w:before="120" w:after="0" w:line="240" w:lineRule="auto"/>
                    <w:jc w:val="both"/>
                    <w:rPr>
                      <w:rFonts w:ascii="Times New Roman" w:eastAsia="Times New Roman" w:hAnsi="Times New Roman" w:cs="Times New Roman"/>
                      <w:kern w:val="0"/>
                      <w:sz w:val="20"/>
                      <w:szCs w:val="20"/>
                      <w14:ligatures w14:val="none"/>
                    </w:rPr>
                  </w:pPr>
                  <w:r w:rsidRPr="00EE294E">
                    <w:rPr>
                      <w:rFonts w:ascii="Times New Roman" w:eastAsia="Times New Roman" w:hAnsi="Times New Roman" w:cs="Times New Roman"/>
                      <w:kern w:val="0"/>
                      <w:sz w:val="20"/>
                      <w:szCs w:val="20"/>
                      <w14:ligatures w14:val="none"/>
                    </w:rPr>
                    <w:t>kur është e aplikueshme, informacion që pagesa fillon në ambientet fizike të tregtarit.</w:t>
                  </w:r>
                </w:p>
              </w:tc>
            </w:tr>
          </w:tbl>
          <w:p w14:paraId="02F6F541" w14:textId="1F16EBB7" w:rsidR="003C045B" w:rsidRPr="00EE294E" w:rsidRDefault="003C045B" w:rsidP="003C045B">
            <w:pPr>
              <w:jc w:val="both"/>
              <w:rPr>
                <w:rFonts w:ascii="Times New Roman" w:eastAsia="Calibri" w:hAnsi="Times New Roman" w:cs="Times New Roman"/>
                <w:iCs/>
                <w:sz w:val="20"/>
                <w:szCs w:val="20"/>
              </w:rPr>
            </w:pPr>
          </w:p>
        </w:tc>
        <w:tc>
          <w:tcPr>
            <w:tcW w:w="450" w:type="dxa"/>
          </w:tcPr>
          <w:p w14:paraId="4490F7F0" w14:textId="5E59336E" w:rsidR="003C045B" w:rsidRPr="00EE294E" w:rsidRDefault="003C045B" w:rsidP="003C045B">
            <w:pPr>
              <w:jc w:val="center"/>
              <w:rPr>
                <w:rFonts w:ascii="Times New Roman" w:eastAsia="Calibri" w:hAnsi="Times New Roman" w:cs="Times New Roman"/>
                <w:sz w:val="20"/>
                <w:szCs w:val="20"/>
              </w:rPr>
            </w:pPr>
          </w:p>
        </w:tc>
        <w:tc>
          <w:tcPr>
            <w:tcW w:w="644" w:type="dxa"/>
          </w:tcPr>
          <w:p w14:paraId="3A291DFE" w14:textId="4ECE199A" w:rsidR="003C045B" w:rsidRPr="00EE294E" w:rsidRDefault="003D7B59" w:rsidP="003C045B">
            <w:pPr>
              <w:jc w:val="center"/>
              <w:rPr>
                <w:rFonts w:ascii="Times New Roman" w:eastAsia="Calibri" w:hAnsi="Times New Roman" w:cs="Times New Roman"/>
                <w:sz w:val="20"/>
                <w:szCs w:val="20"/>
                <w:lang w:val="en-US"/>
              </w:rPr>
            </w:pPr>
            <w:r w:rsidRPr="00EE294E">
              <w:rPr>
                <w:rFonts w:ascii="Times New Roman" w:eastAsia="Calibri" w:hAnsi="Times New Roman" w:cs="Times New Roman"/>
                <w:sz w:val="20"/>
                <w:szCs w:val="20"/>
                <w:lang w:val="en-US"/>
              </w:rPr>
              <w:t>Neni 10</w:t>
            </w:r>
          </w:p>
        </w:tc>
        <w:tc>
          <w:tcPr>
            <w:tcW w:w="5040" w:type="dxa"/>
            <w:tcBorders>
              <w:bottom w:val="dashed" w:sz="4" w:space="0" w:color="auto"/>
            </w:tcBorders>
          </w:tcPr>
          <w:p w14:paraId="2B6AA713" w14:textId="77777777" w:rsidR="003C3D4C" w:rsidRPr="00EE294E" w:rsidRDefault="003C3D4C" w:rsidP="003C3D4C">
            <w:pPr>
              <w:jc w:val="both"/>
              <w:rPr>
                <w:rFonts w:ascii="Times New Roman" w:eastAsia="Calibri" w:hAnsi="Times New Roman" w:cs="Times New Roman"/>
                <w:sz w:val="20"/>
                <w:szCs w:val="20"/>
              </w:rPr>
            </w:pPr>
            <w:r w:rsidRPr="00EE294E">
              <w:rPr>
                <w:rFonts w:ascii="Times New Roman" w:eastAsia="Calibri" w:hAnsi="Times New Roman" w:cs="Times New Roman"/>
                <w:sz w:val="20"/>
                <w:szCs w:val="20"/>
              </w:rPr>
              <w:t>1.</w:t>
            </w:r>
            <w:r w:rsidRPr="00EE294E">
              <w:rPr>
                <w:rFonts w:ascii="Times New Roman" w:eastAsia="Calibri" w:hAnsi="Times New Roman" w:cs="Times New Roman"/>
                <w:sz w:val="20"/>
                <w:szCs w:val="20"/>
              </w:rPr>
              <w:tab/>
              <w:t>Dokumentacioni i mbajtur nga ofruesi i shërbimeve të pagesës duhet të përmbajë të paktën informacionin e mëposhtëm:</w:t>
            </w:r>
          </w:p>
          <w:p w14:paraId="3598568D" w14:textId="77777777" w:rsidR="003C3D4C" w:rsidRPr="00EE294E" w:rsidRDefault="003C3D4C" w:rsidP="003C3D4C">
            <w:pPr>
              <w:jc w:val="both"/>
              <w:rPr>
                <w:rFonts w:ascii="Times New Roman" w:eastAsia="Calibri" w:hAnsi="Times New Roman" w:cs="Times New Roman"/>
                <w:sz w:val="20"/>
                <w:szCs w:val="20"/>
              </w:rPr>
            </w:pPr>
          </w:p>
          <w:p w14:paraId="303D201D" w14:textId="79649B52" w:rsidR="003C3D4C" w:rsidRPr="00EE294E" w:rsidRDefault="003C3D4C" w:rsidP="003C3D4C">
            <w:pPr>
              <w:jc w:val="both"/>
              <w:rPr>
                <w:rFonts w:ascii="Times New Roman" w:eastAsia="Calibri" w:hAnsi="Times New Roman" w:cs="Times New Roman"/>
                <w:sz w:val="20"/>
                <w:szCs w:val="20"/>
              </w:rPr>
            </w:pPr>
            <w:r w:rsidRPr="00EE294E">
              <w:rPr>
                <w:rFonts w:ascii="Times New Roman" w:eastAsia="Calibri" w:hAnsi="Times New Roman" w:cs="Times New Roman"/>
                <w:sz w:val="20"/>
                <w:szCs w:val="20"/>
              </w:rPr>
              <w:t xml:space="preserve">a) BIC ose çdo kod tjetër identifikues biznesi që identifikon qartë ofruesin e shërbimeve të </w:t>
            </w:r>
            <w:r w:rsidR="00A570A7" w:rsidRPr="00EE294E">
              <w:rPr>
                <w:rFonts w:ascii="Times New Roman" w:eastAsia="Calibri" w:hAnsi="Times New Roman" w:cs="Times New Roman"/>
                <w:sz w:val="20"/>
                <w:szCs w:val="20"/>
              </w:rPr>
              <w:t>pagesave</w:t>
            </w:r>
            <w:r w:rsidRPr="00EE294E">
              <w:rPr>
                <w:rFonts w:ascii="Times New Roman" w:eastAsia="Calibri" w:hAnsi="Times New Roman" w:cs="Times New Roman"/>
                <w:sz w:val="20"/>
                <w:szCs w:val="20"/>
              </w:rPr>
              <w:t>;</w:t>
            </w:r>
          </w:p>
          <w:p w14:paraId="3405B78D" w14:textId="77777777" w:rsidR="003C3D4C" w:rsidRPr="00EE294E" w:rsidRDefault="003C3D4C" w:rsidP="003C3D4C">
            <w:pPr>
              <w:jc w:val="both"/>
              <w:rPr>
                <w:rFonts w:ascii="Times New Roman" w:eastAsia="Calibri" w:hAnsi="Times New Roman" w:cs="Times New Roman"/>
                <w:sz w:val="20"/>
                <w:szCs w:val="20"/>
              </w:rPr>
            </w:pPr>
          </w:p>
          <w:p w14:paraId="5A5F6CD8" w14:textId="23A7819E" w:rsidR="003C3D4C" w:rsidRPr="00EE294E" w:rsidRDefault="003C3D4C" w:rsidP="003C3D4C">
            <w:pPr>
              <w:jc w:val="both"/>
              <w:rPr>
                <w:rFonts w:ascii="Times New Roman" w:eastAsia="Calibri" w:hAnsi="Times New Roman" w:cs="Times New Roman"/>
                <w:sz w:val="20"/>
                <w:szCs w:val="20"/>
              </w:rPr>
            </w:pPr>
            <w:r w:rsidRPr="00EE294E">
              <w:rPr>
                <w:rFonts w:ascii="Times New Roman" w:eastAsia="Calibri" w:hAnsi="Times New Roman" w:cs="Times New Roman"/>
                <w:sz w:val="20"/>
                <w:szCs w:val="20"/>
              </w:rPr>
              <w:t xml:space="preserve">b) Emrin e përfituesit të pagesës ose emrin tregtar të tij, siç shfaqet në të dhënat e ofruesit të shërbimeve të </w:t>
            </w:r>
            <w:r w:rsidR="00A570A7" w:rsidRPr="00EE294E">
              <w:rPr>
                <w:rFonts w:ascii="Times New Roman" w:eastAsia="Calibri" w:hAnsi="Times New Roman" w:cs="Times New Roman"/>
                <w:sz w:val="20"/>
                <w:szCs w:val="20"/>
              </w:rPr>
              <w:t>pagesave</w:t>
            </w:r>
            <w:r w:rsidRPr="00EE294E">
              <w:rPr>
                <w:rFonts w:ascii="Times New Roman" w:eastAsia="Calibri" w:hAnsi="Times New Roman" w:cs="Times New Roman"/>
                <w:sz w:val="20"/>
                <w:szCs w:val="20"/>
              </w:rPr>
              <w:t>;</w:t>
            </w:r>
          </w:p>
          <w:p w14:paraId="19DF8565" w14:textId="77777777" w:rsidR="003C3D4C" w:rsidRPr="00EE294E" w:rsidRDefault="003C3D4C" w:rsidP="003C3D4C">
            <w:pPr>
              <w:jc w:val="both"/>
              <w:rPr>
                <w:rFonts w:ascii="Times New Roman" w:eastAsia="Calibri" w:hAnsi="Times New Roman" w:cs="Times New Roman"/>
                <w:sz w:val="20"/>
                <w:szCs w:val="20"/>
              </w:rPr>
            </w:pPr>
          </w:p>
          <w:p w14:paraId="2F0D2EE3" w14:textId="77777777" w:rsidR="003C3D4C" w:rsidRPr="00EE294E" w:rsidRDefault="003C3D4C" w:rsidP="003C3D4C">
            <w:pPr>
              <w:jc w:val="both"/>
              <w:rPr>
                <w:rFonts w:ascii="Times New Roman" w:eastAsia="Calibri" w:hAnsi="Times New Roman" w:cs="Times New Roman"/>
                <w:sz w:val="20"/>
                <w:szCs w:val="20"/>
              </w:rPr>
            </w:pPr>
            <w:r w:rsidRPr="00EE294E">
              <w:rPr>
                <w:rFonts w:ascii="Times New Roman" w:eastAsia="Calibri" w:hAnsi="Times New Roman" w:cs="Times New Roman"/>
                <w:sz w:val="20"/>
                <w:szCs w:val="20"/>
              </w:rPr>
              <w:t>c) Numrin e identifikimit për TVSH ose çdo numër tjetër kombëtar tatimor të përfituesit të pagesës, nëse është i disponueshëm;</w:t>
            </w:r>
          </w:p>
          <w:p w14:paraId="27CC80F9" w14:textId="77777777" w:rsidR="003C3D4C" w:rsidRPr="00EE294E" w:rsidRDefault="003C3D4C" w:rsidP="003C3D4C">
            <w:pPr>
              <w:jc w:val="both"/>
              <w:rPr>
                <w:rFonts w:ascii="Times New Roman" w:eastAsia="Calibri" w:hAnsi="Times New Roman" w:cs="Times New Roman"/>
                <w:sz w:val="20"/>
                <w:szCs w:val="20"/>
              </w:rPr>
            </w:pPr>
          </w:p>
          <w:p w14:paraId="6B7CA75F" w14:textId="6C24425E" w:rsidR="003C3D4C" w:rsidRPr="00EE294E" w:rsidRDefault="00A570A7" w:rsidP="003C3D4C">
            <w:pPr>
              <w:jc w:val="both"/>
              <w:rPr>
                <w:rFonts w:ascii="Times New Roman" w:eastAsia="Calibri" w:hAnsi="Times New Roman" w:cs="Times New Roman"/>
                <w:sz w:val="20"/>
                <w:szCs w:val="20"/>
              </w:rPr>
            </w:pPr>
            <w:r w:rsidRPr="00EE294E">
              <w:rPr>
                <w:rFonts w:ascii="Times New Roman" w:eastAsia="Calibri" w:hAnsi="Times New Roman" w:cs="Times New Roman"/>
                <w:sz w:val="20"/>
                <w:szCs w:val="20"/>
              </w:rPr>
              <w:t>ç</w:t>
            </w:r>
            <w:r w:rsidR="003C3D4C" w:rsidRPr="00EE294E">
              <w:rPr>
                <w:rFonts w:ascii="Times New Roman" w:eastAsia="Calibri" w:hAnsi="Times New Roman" w:cs="Times New Roman"/>
                <w:sz w:val="20"/>
                <w:szCs w:val="20"/>
              </w:rPr>
              <w:t xml:space="preserve">) IBAN-in nëse është i disponueshëm, ose çdo identifikues tjetër unik që identifikon qartë dhe tregon vendndodhjen e përfituesit të pagesës. </w:t>
            </w:r>
          </w:p>
          <w:p w14:paraId="282DDC54" w14:textId="77777777" w:rsidR="003C3D4C" w:rsidRPr="00EE294E" w:rsidRDefault="003C3D4C" w:rsidP="003C3D4C">
            <w:pPr>
              <w:jc w:val="both"/>
              <w:rPr>
                <w:rFonts w:ascii="Times New Roman" w:eastAsia="Calibri" w:hAnsi="Times New Roman" w:cs="Times New Roman"/>
                <w:sz w:val="20"/>
                <w:szCs w:val="20"/>
              </w:rPr>
            </w:pPr>
          </w:p>
          <w:p w14:paraId="026A3CE4" w14:textId="4613044A" w:rsidR="003C3D4C" w:rsidRPr="00EE294E" w:rsidRDefault="00A570A7" w:rsidP="003C3D4C">
            <w:pPr>
              <w:jc w:val="both"/>
              <w:rPr>
                <w:rFonts w:ascii="Times New Roman" w:eastAsia="Calibri" w:hAnsi="Times New Roman" w:cs="Times New Roman"/>
                <w:sz w:val="20"/>
                <w:szCs w:val="20"/>
              </w:rPr>
            </w:pPr>
            <w:r w:rsidRPr="00EE294E">
              <w:rPr>
                <w:rFonts w:ascii="Times New Roman" w:eastAsia="Calibri" w:hAnsi="Times New Roman" w:cs="Times New Roman"/>
                <w:sz w:val="20"/>
                <w:szCs w:val="20"/>
              </w:rPr>
              <w:lastRenderedPageBreak/>
              <w:t>d</w:t>
            </w:r>
            <w:r w:rsidR="003C3D4C" w:rsidRPr="00EE294E">
              <w:rPr>
                <w:rFonts w:ascii="Times New Roman" w:eastAsia="Calibri" w:hAnsi="Times New Roman" w:cs="Times New Roman"/>
                <w:sz w:val="20"/>
                <w:szCs w:val="20"/>
              </w:rPr>
              <w:t>) Kur përfituesi i pagesës merr fonde pa pasur llogari pagese, BIC ose çdo kod tjetër identifikues biznesi që identifikon qartë dhe tregon vendndodhjen e ofruesit të shërbimeve të pagesës që vepron në emër të përfituesit;</w:t>
            </w:r>
          </w:p>
          <w:p w14:paraId="40AE970C" w14:textId="77777777" w:rsidR="003C3D4C" w:rsidRPr="00EE294E" w:rsidRDefault="003C3D4C" w:rsidP="003C3D4C">
            <w:pPr>
              <w:jc w:val="both"/>
              <w:rPr>
                <w:rFonts w:ascii="Times New Roman" w:eastAsia="Calibri" w:hAnsi="Times New Roman" w:cs="Times New Roman"/>
                <w:sz w:val="20"/>
                <w:szCs w:val="20"/>
              </w:rPr>
            </w:pPr>
          </w:p>
          <w:p w14:paraId="04E58540" w14:textId="62985356" w:rsidR="003C3D4C" w:rsidRPr="00EE294E" w:rsidRDefault="00D360C2" w:rsidP="003C3D4C">
            <w:pPr>
              <w:jc w:val="both"/>
              <w:rPr>
                <w:rFonts w:ascii="Times New Roman" w:eastAsia="Calibri" w:hAnsi="Times New Roman" w:cs="Times New Roman"/>
                <w:sz w:val="20"/>
                <w:szCs w:val="20"/>
              </w:rPr>
            </w:pPr>
            <w:r w:rsidRPr="00EE294E">
              <w:rPr>
                <w:rFonts w:ascii="Times New Roman" w:eastAsia="Calibri" w:hAnsi="Times New Roman" w:cs="Times New Roman"/>
                <w:sz w:val="20"/>
                <w:szCs w:val="20"/>
              </w:rPr>
              <w:t>dh</w:t>
            </w:r>
            <w:r w:rsidR="003C3D4C" w:rsidRPr="00EE294E">
              <w:rPr>
                <w:rFonts w:ascii="Times New Roman" w:eastAsia="Calibri" w:hAnsi="Times New Roman" w:cs="Times New Roman"/>
                <w:sz w:val="20"/>
                <w:szCs w:val="20"/>
              </w:rPr>
              <w:t>) Adresën e përfituesit të pagesës siç shfaqet në të dhënat e ofruesit të shërbimit të pagesave, nëse është e disponueshme;</w:t>
            </w:r>
          </w:p>
          <w:p w14:paraId="7435A337" w14:textId="77777777" w:rsidR="003C3D4C" w:rsidRPr="00EE294E" w:rsidRDefault="003C3D4C" w:rsidP="003C3D4C">
            <w:pPr>
              <w:jc w:val="both"/>
              <w:rPr>
                <w:rFonts w:ascii="Times New Roman" w:eastAsia="Calibri" w:hAnsi="Times New Roman" w:cs="Times New Roman"/>
                <w:sz w:val="20"/>
                <w:szCs w:val="20"/>
              </w:rPr>
            </w:pPr>
          </w:p>
          <w:p w14:paraId="48C3734F" w14:textId="150F407F" w:rsidR="003C3D4C" w:rsidRPr="00EE294E" w:rsidRDefault="00D360C2" w:rsidP="003C3D4C">
            <w:pPr>
              <w:jc w:val="both"/>
              <w:rPr>
                <w:rFonts w:ascii="Times New Roman" w:eastAsia="Calibri" w:hAnsi="Times New Roman" w:cs="Times New Roman"/>
                <w:sz w:val="20"/>
                <w:szCs w:val="20"/>
              </w:rPr>
            </w:pPr>
            <w:r w:rsidRPr="00EE294E">
              <w:rPr>
                <w:rFonts w:ascii="Times New Roman" w:eastAsia="Calibri" w:hAnsi="Times New Roman" w:cs="Times New Roman"/>
                <w:sz w:val="20"/>
                <w:szCs w:val="20"/>
              </w:rPr>
              <w:t>e</w:t>
            </w:r>
            <w:r w:rsidR="003C3D4C" w:rsidRPr="00EE294E">
              <w:rPr>
                <w:rFonts w:ascii="Times New Roman" w:eastAsia="Calibri" w:hAnsi="Times New Roman" w:cs="Times New Roman"/>
                <w:sz w:val="20"/>
                <w:szCs w:val="20"/>
              </w:rPr>
              <w:t xml:space="preserve">) Të dhënat e çdo transaksioni pagese ndërkufitare, duke përfshirë të </w:t>
            </w:r>
            <w:r w:rsidR="00A570A7" w:rsidRPr="00EE294E">
              <w:rPr>
                <w:rFonts w:ascii="Times New Roman" w:eastAsia="Calibri" w:hAnsi="Times New Roman" w:cs="Times New Roman"/>
                <w:sz w:val="20"/>
                <w:szCs w:val="20"/>
              </w:rPr>
              <w:t xml:space="preserve">gjithë </w:t>
            </w:r>
            <w:r w:rsidR="003C3D4C" w:rsidRPr="00EE294E">
              <w:rPr>
                <w:rFonts w:ascii="Times New Roman" w:eastAsia="Calibri" w:hAnsi="Times New Roman" w:cs="Times New Roman"/>
                <w:sz w:val="20"/>
                <w:szCs w:val="20"/>
              </w:rPr>
              <w:t>identifikuesit unikë të përfituesit dhe vendndodhjen e tij;</w:t>
            </w:r>
          </w:p>
          <w:p w14:paraId="0D2B8122" w14:textId="77777777" w:rsidR="003C3D4C" w:rsidRPr="00EE294E" w:rsidRDefault="003C3D4C" w:rsidP="003C3D4C">
            <w:pPr>
              <w:jc w:val="both"/>
              <w:rPr>
                <w:rFonts w:ascii="Times New Roman" w:eastAsia="Calibri" w:hAnsi="Times New Roman" w:cs="Times New Roman"/>
                <w:sz w:val="20"/>
                <w:szCs w:val="20"/>
              </w:rPr>
            </w:pPr>
          </w:p>
          <w:p w14:paraId="5905AA40" w14:textId="052A0C2D" w:rsidR="003C3D4C" w:rsidRPr="00EE294E" w:rsidRDefault="00D360C2" w:rsidP="003C3D4C">
            <w:pPr>
              <w:jc w:val="both"/>
              <w:rPr>
                <w:rFonts w:ascii="Times New Roman" w:eastAsia="Calibri" w:hAnsi="Times New Roman" w:cs="Times New Roman"/>
                <w:sz w:val="20"/>
                <w:szCs w:val="20"/>
              </w:rPr>
            </w:pPr>
            <w:r w:rsidRPr="00EE294E">
              <w:rPr>
                <w:rFonts w:ascii="Times New Roman" w:eastAsia="Calibri" w:hAnsi="Times New Roman" w:cs="Times New Roman"/>
                <w:sz w:val="20"/>
                <w:szCs w:val="20"/>
              </w:rPr>
              <w:t>ë</w:t>
            </w:r>
            <w:r w:rsidR="003C3D4C" w:rsidRPr="00EE294E">
              <w:rPr>
                <w:rFonts w:ascii="Times New Roman" w:eastAsia="Calibri" w:hAnsi="Times New Roman" w:cs="Times New Roman"/>
                <w:sz w:val="20"/>
                <w:szCs w:val="20"/>
              </w:rPr>
              <w:t>) Të dhënat e çdo rimbursimi që lidhet me transaksionet ndërkufitare.</w:t>
            </w:r>
          </w:p>
          <w:p w14:paraId="49613C3B" w14:textId="77777777" w:rsidR="003C3D4C" w:rsidRPr="00EE294E" w:rsidRDefault="003C3D4C" w:rsidP="003C3D4C">
            <w:pPr>
              <w:jc w:val="both"/>
              <w:rPr>
                <w:rFonts w:ascii="Times New Roman" w:eastAsia="Calibri" w:hAnsi="Times New Roman" w:cs="Times New Roman"/>
                <w:sz w:val="20"/>
                <w:szCs w:val="20"/>
              </w:rPr>
            </w:pPr>
          </w:p>
          <w:p w14:paraId="32507B40" w14:textId="6ED0D16B" w:rsidR="003C3D4C" w:rsidRPr="00EE294E" w:rsidRDefault="003C3D4C" w:rsidP="003C3D4C">
            <w:pPr>
              <w:jc w:val="both"/>
              <w:rPr>
                <w:rFonts w:ascii="Times New Roman" w:eastAsia="Calibri" w:hAnsi="Times New Roman" w:cs="Times New Roman"/>
                <w:sz w:val="20"/>
                <w:szCs w:val="20"/>
              </w:rPr>
            </w:pPr>
            <w:r w:rsidRPr="00EE294E">
              <w:rPr>
                <w:rFonts w:ascii="Times New Roman" w:eastAsia="Calibri" w:hAnsi="Times New Roman" w:cs="Times New Roman"/>
                <w:sz w:val="20"/>
                <w:szCs w:val="20"/>
              </w:rPr>
              <w:t>2.</w:t>
            </w:r>
            <w:r w:rsidRPr="00EE294E">
              <w:rPr>
                <w:rFonts w:ascii="Times New Roman" w:eastAsia="Calibri" w:hAnsi="Times New Roman" w:cs="Times New Roman"/>
                <w:sz w:val="20"/>
                <w:szCs w:val="20"/>
              </w:rPr>
              <w:tab/>
            </w:r>
            <w:r w:rsidR="00A570A7" w:rsidRPr="00EE294E">
              <w:rPr>
                <w:rFonts w:ascii="Times New Roman" w:eastAsia="Calibri" w:hAnsi="Times New Roman" w:cs="Times New Roman"/>
                <w:sz w:val="20"/>
                <w:szCs w:val="20"/>
              </w:rPr>
              <w:t>Informacioni i</w:t>
            </w:r>
            <w:r w:rsidRPr="00EE294E">
              <w:rPr>
                <w:rFonts w:ascii="Times New Roman" w:eastAsia="Calibri" w:hAnsi="Times New Roman" w:cs="Times New Roman"/>
                <w:sz w:val="20"/>
                <w:szCs w:val="20"/>
              </w:rPr>
              <w:t xml:space="preserve"> përmendur në gërmat (</w:t>
            </w:r>
            <w:r w:rsidR="00D360C2" w:rsidRPr="00EE294E">
              <w:rPr>
                <w:rFonts w:ascii="Times New Roman" w:eastAsia="Calibri" w:hAnsi="Times New Roman" w:cs="Times New Roman"/>
                <w:sz w:val="20"/>
                <w:szCs w:val="20"/>
              </w:rPr>
              <w:t>e</w:t>
            </w:r>
            <w:r w:rsidRPr="00EE294E">
              <w:rPr>
                <w:rFonts w:ascii="Times New Roman" w:eastAsia="Calibri" w:hAnsi="Times New Roman" w:cs="Times New Roman"/>
                <w:sz w:val="20"/>
                <w:szCs w:val="20"/>
              </w:rPr>
              <w:t>) dhe (</w:t>
            </w:r>
            <w:r w:rsidR="00D360C2" w:rsidRPr="00EE294E">
              <w:rPr>
                <w:rFonts w:ascii="Times New Roman" w:eastAsia="Calibri" w:hAnsi="Times New Roman" w:cs="Times New Roman"/>
                <w:sz w:val="20"/>
                <w:szCs w:val="20"/>
              </w:rPr>
              <w:t>ë</w:t>
            </w:r>
            <w:r w:rsidRPr="00EE294E">
              <w:rPr>
                <w:rFonts w:ascii="Times New Roman" w:eastAsia="Calibri" w:hAnsi="Times New Roman" w:cs="Times New Roman"/>
                <w:sz w:val="20"/>
                <w:szCs w:val="20"/>
              </w:rPr>
              <w:t>) të pikës 1 të këtij neni duhet të përfshijnë detajet e mëposhtme:</w:t>
            </w:r>
          </w:p>
          <w:p w14:paraId="54951B98" w14:textId="77777777" w:rsidR="003C3D4C" w:rsidRPr="00EE294E" w:rsidRDefault="003C3D4C" w:rsidP="003C3D4C">
            <w:pPr>
              <w:jc w:val="both"/>
              <w:rPr>
                <w:rFonts w:ascii="Times New Roman" w:eastAsia="Calibri" w:hAnsi="Times New Roman" w:cs="Times New Roman"/>
                <w:sz w:val="20"/>
                <w:szCs w:val="20"/>
              </w:rPr>
            </w:pPr>
          </w:p>
          <w:p w14:paraId="77506BC9" w14:textId="7B126C28" w:rsidR="003C3D4C" w:rsidRPr="00EE294E" w:rsidRDefault="003C3D4C" w:rsidP="003C3D4C">
            <w:pPr>
              <w:jc w:val="both"/>
              <w:rPr>
                <w:rFonts w:ascii="Times New Roman" w:eastAsia="Calibri" w:hAnsi="Times New Roman" w:cs="Times New Roman"/>
                <w:sz w:val="20"/>
                <w:szCs w:val="20"/>
              </w:rPr>
            </w:pPr>
            <w:r w:rsidRPr="00EE294E">
              <w:rPr>
                <w:rFonts w:ascii="Times New Roman" w:eastAsia="Calibri" w:hAnsi="Times New Roman" w:cs="Times New Roman"/>
                <w:sz w:val="20"/>
                <w:szCs w:val="20"/>
              </w:rPr>
              <w:t xml:space="preserve">a) </w:t>
            </w:r>
            <w:r w:rsidR="00A570A7" w:rsidRPr="00EE294E">
              <w:rPr>
                <w:rFonts w:ascii="Times New Roman" w:eastAsia="Calibri" w:hAnsi="Times New Roman" w:cs="Times New Roman"/>
                <w:sz w:val="20"/>
                <w:szCs w:val="20"/>
              </w:rPr>
              <w:t xml:space="preserve">Datën </w:t>
            </w:r>
            <w:r w:rsidRPr="00EE294E">
              <w:rPr>
                <w:rFonts w:ascii="Times New Roman" w:eastAsia="Calibri" w:hAnsi="Times New Roman" w:cs="Times New Roman"/>
                <w:sz w:val="20"/>
                <w:szCs w:val="20"/>
              </w:rPr>
              <w:t xml:space="preserve">dhe </w:t>
            </w:r>
            <w:r w:rsidR="00A570A7" w:rsidRPr="00EE294E">
              <w:rPr>
                <w:rFonts w:ascii="Times New Roman" w:eastAsia="Calibri" w:hAnsi="Times New Roman" w:cs="Times New Roman"/>
                <w:sz w:val="20"/>
                <w:szCs w:val="20"/>
              </w:rPr>
              <w:t xml:space="preserve">orën </w:t>
            </w:r>
            <w:r w:rsidRPr="00EE294E">
              <w:rPr>
                <w:rFonts w:ascii="Times New Roman" w:eastAsia="Calibri" w:hAnsi="Times New Roman" w:cs="Times New Roman"/>
                <w:sz w:val="20"/>
                <w:szCs w:val="20"/>
              </w:rPr>
              <w:t xml:space="preserve">e pagesës ose </w:t>
            </w:r>
            <w:r w:rsidR="00A570A7" w:rsidRPr="00EE294E">
              <w:rPr>
                <w:rFonts w:ascii="Times New Roman" w:eastAsia="Calibri" w:hAnsi="Times New Roman" w:cs="Times New Roman"/>
                <w:sz w:val="20"/>
                <w:szCs w:val="20"/>
              </w:rPr>
              <w:t xml:space="preserve">të </w:t>
            </w:r>
            <w:r w:rsidRPr="00EE294E">
              <w:rPr>
                <w:rFonts w:ascii="Times New Roman" w:eastAsia="Calibri" w:hAnsi="Times New Roman" w:cs="Times New Roman"/>
                <w:sz w:val="20"/>
                <w:szCs w:val="20"/>
              </w:rPr>
              <w:t>rimbursimit</w:t>
            </w:r>
            <w:r w:rsidR="00A570A7" w:rsidRPr="00EE294E">
              <w:rPr>
                <w:rFonts w:ascii="Times New Roman" w:eastAsia="Calibri" w:hAnsi="Times New Roman" w:cs="Times New Roman"/>
                <w:sz w:val="20"/>
                <w:szCs w:val="20"/>
              </w:rPr>
              <w:t xml:space="preserve"> të pagesës</w:t>
            </w:r>
            <w:r w:rsidRPr="00EE294E">
              <w:rPr>
                <w:rFonts w:ascii="Times New Roman" w:eastAsia="Calibri" w:hAnsi="Times New Roman" w:cs="Times New Roman"/>
                <w:sz w:val="20"/>
                <w:szCs w:val="20"/>
              </w:rPr>
              <w:t>;</w:t>
            </w:r>
          </w:p>
          <w:p w14:paraId="6343E87E" w14:textId="77777777" w:rsidR="003C3D4C" w:rsidRPr="00EE294E" w:rsidRDefault="003C3D4C" w:rsidP="003C3D4C">
            <w:pPr>
              <w:jc w:val="both"/>
              <w:rPr>
                <w:rFonts w:ascii="Times New Roman" w:eastAsia="Calibri" w:hAnsi="Times New Roman" w:cs="Times New Roman"/>
                <w:sz w:val="20"/>
                <w:szCs w:val="20"/>
              </w:rPr>
            </w:pPr>
          </w:p>
          <w:p w14:paraId="3F3B07F5" w14:textId="52E112D4" w:rsidR="003C3D4C" w:rsidRPr="00EE294E" w:rsidRDefault="003C3D4C" w:rsidP="003C3D4C">
            <w:pPr>
              <w:jc w:val="both"/>
              <w:rPr>
                <w:rFonts w:ascii="Times New Roman" w:eastAsia="Calibri" w:hAnsi="Times New Roman" w:cs="Times New Roman"/>
                <w:sz w:val="20"/>
                <w:szCs w:val="20"/>
              </w:rPr>
            </w:pPr>
            <w:r w:rsidRPr="00EE294E">
              <w:rPr>
                <w:rFonts w:ascii="Times New Roman" w:eastAsia="Calibri" w:hAnsi="Times New Roman" w:cs="Times New Roman"/>
                <w:sz w:val="20"/>
                <w:szCs w:val="20"/>
              </w:rPr>
              <w:t xml:space="preserve">b) </w:t>
            </w:r>
            <w:r w:rsidR="00A570A7" w:rsidRPr="00EE294E">
              <w:rPr>
                <w:rFonts w:ascii="Times New Roman" w:eastAsia="Calibri" w:hAnsi="Times New Roman" w:cs="Times New Roman"/>
                <w:sz w:val="20"/>
                <w:szCs w:val="20"/>
              </w:rPr>
              <w:t xml:space="preserve">Shumën </w:t>
            </w:r>
            <w:r w:rsidRPr="00EE294E">
              <w:rPr>
                <w:rFonts w:ascii="Times New Roman" w:eastAsia="Calibri" w:hAnsi="Times New Roman" w:cs="Times New Roman"/>
                <w:sz w:val="20"/>
                <w:szCs w:val="20"/>
              </w:rPr>
              <w:t xml:space="preserve">dhe </w:t>
            </w:r>
            <w:r w:rsidR="00A570A7" w:rsidRPr="00EE294E">
              <w:rPr>
                <w:rFonts w:ascii="Times New Roman" w:eastAsia="Calibri" w:hAnsi="Times New Roman" w:cs="Times New Roman"/>
                <w:sz w:val="20"/>
                <w:szCs w:val="20"/>
              </w:rPr>
              <w:t xml:space="preserve">monedhën </w:t>
            </w:r>
            <w:r w:rsidRPr="00EE294E">
              <w:rPr>
                <w:rFonts w:ascii="Times New Roman" w:eastAsia="Calibri" w:hAnsi="Times New Roman" w:cs="Times New Roman"/>
                <w:sz w:val="20"/>
                <w:szCs w:val="20"/>
              </w:rPr>
              <w:t xml:space="preserve">e pagesës ose </w:t>
            </w:r>
            <w:r w:rsidR="00A570A7" w:rsidRPr="00EE294E">
              <w:rPr>
                <w:rFonts w:ascii="Times New Roman" w:eastAsia="Calibri" w:hAnsi="Times New Roman" w:cs="Times New Roman"/>
                <w:sz w:val="20"/>
                <w:szCs w:val="20"/>
              </w:rPr>
              <w:t xml:space="preserve">të </w:t>
            </w:r>
            <w:r w:rsidRPr="00EE294E">
              <w:rPr>
                <w:rFonts w:ascii="Times New Roman" w:eastAsia="Calibri" w:hAnsi="Times New Roman" w:cs="Times New Roman"/>
                <w:sz w:val="20"/>
                <w:szCs w:val="20"/>
              </w:rPr>
              <w:t>rimbursimit</w:t>
            </w:r>
            <w:r w:rsidR="00A570A7" w:rsidRPr="00EE294E">
              <w:rPr>
                <w:rFonts w:ascii="Times New Roman" w:eastAsia="Calibri" w:hAnsi="Times New Roman" w:cs="Times New Roman"/>
                <w:sz w:val="20"/>
                <w:szCs w:val="20"/>
              </w:rPr>
              <w:t xml:space="preserve"> të pagesës</w:t>
            </w:r>
            <w:r w:rsidRPr="00EE294E">
              <w:rPr>
                <w:rFonts w:ascii="Times New Roman" w:eastAsia="Calibri" w:hAnsi="Times New Roman" w:cs="Times New Roman"/>
                <w:sz w:val="20"/>
                <w:szCs w:val="20"/>
              </w:rPr>
              <w:t>;</w:t>
            </w:r>
          </w:p>
          <w:p w14:paraId="56AD2834" w14:textId="77777777" w:rsidR="003C3D4C" w:rsidRPr="00EE294E" w:rsidRDefault="003C3D4C" w:rsidP="003C3D4C">
            <w:pPr>
              <w:jc w:val="both"/>
              <w:rPr>
                <w:rFonts w:ascii="Times New Roman" w:eastAsia="Calibri" w:hAnsi="Times New Roman" w:cs="Times New Roman"/>
                <w:sz w:val="20"/>
                <w:szCs w:val="20"/>
              </w:rPr>
            </w:pPr>
          </w:p>
          <w:p w14:paraId="4BEC49CD" w14:textId="1F9C27F5" w:rsidR="003C3D4C" w:rsidRPr="00EE294E" w:rsidRDefault="003C3D4C" w:rsidP="003C3D4C">
            <w:pPr>
              <w:jc w:val="both"/>
              <w:rPr>
                <w:rFonts w:ascii="Times New Roman" w:eastAsia="Calibri" w:hAnsi="Times New Roman" w:cs="Times New Roman"/>
                <w:sz w:val="20"/>
                <w:szCs w:val="20"/>
              </w:rPr>
            </w:pPr>
            <w:r w:rsidRPr="00EE294E">
              <w:rPr>
                <w:rFonts w:ascii="Times New Roman" w:eastAsia="Calibri" w:hAnsi="Times New Roman" w:cs="Times New Roman"/>
                <w:sz w:val="20"/>
                <w:szCs w:val="20"/>
              </w:rPr>
              <w:t xml:space="preserve">c) Shteti </w:t>
            </w:r>
            <w:r w:rsidR="00A570A7" w:rsidRPr="00EE294E">
              <w:rPr>
                <w:rFonts w:ascii="Times New Roman" w:eastAsia="Calibri" w:hAnsi="Times New Roman" w:cs="Times New Roman"/>
                <w:sz w:val="20"/>
                <w:szCs w:val="20"/>
              </w:rPr>
              <w:t>Anëtar të</w:t>
            </w:r>
            <w:r w:rsidRPr="00EE294E">
              <w:rPr>
                <w:rFonts w:ascii="Times New Roman" w:eastAsia="Calibri" w:hAnsi="Times New Roman" w:cs="Times New Roman"/>
                <w:sz w:val="20"/>
                <w:szCs w:val="20"/>
              </w:rPr>
              <w:t xml:space="preserve"> origjinës së pagesës, sipas informacionit të disponueshëm nga ofruesi i shërbimeve të pagesës;</w:t>
            </w:r>
          </w:p>
          <w:p w14:paraId="42D8216D" w14:textId="77777777" w:rsidR="003C3D4C" w:rsidRPr="00EE294E" w:rsidRDefault="003C3D4C" w:rsidP="003C3D4C">
            <w:pPr>
              <w:jc w:val="both"/>
              <w:rPr>
                <w:rFonts w:ascii="Times New Roman" w:eastAsia="Calibri" w:hAnsi="Times New Roman" w:cs="Times New Roman"/>
                <w:sz w:val="20"/>
                <w:szCs w:val="20"/>
              </w:rPr>
            </w:pPr>
          </w:p>
          <w:p w14:paraId="78873846" w14:textId="77777777" w:rsidR="003C3D4C" w:rsidRPr="00EE294E" w:rsidRDefault="003C3D4C" w:rsidP="003C3D4C">
            <w:pPr>
              <w:jc w:val="both"/>
              <w:rPr>
                <w:rFonts w:ascii="Times New Roman" w:eastAsia="Calibri" w:hAnsi="Times New Roman" w:cs="Times New Roman"/>
                <w:sz w:val="20"/>
                <w:szCs w:val="20"/>
              </w:rPr>
            </w:pPr>
            <w:r w:rsidRPr="00EE294E">
              <w:rPr>
                <w:rFonts w:ascii="Times New Roman" w:eastAsia="Calibri" w:hAnsi="Times New Roman" w:cs="Times New Roman"/>
                <w:sz w:val="20"/>
                <w:szCs w:val="20"/>
              </w:rPr>
              <w:t>d) Shteti i destinacionit të rimbursimit, sipas rastit, dhe çdo informacion i përdorur për të përcaktuar origjinën ose destinacionin e pagesës ose të rimbursimit;</w:t>
            </w:r>
          </w:p>
          <w:p w14:paraId="7686C1EC" w14:textId="77777777" w:rsidR="003C3D4C" w:rsidRPr="00EE294E" w:rsidRDefault="003C3D4C" w:rsidP="003C3D4C">
            <w:pPr>
              <w:jc w:val="both"/>
              <w:rPr>
                <w:rFonts w:ascii="Times New Roman" w:eastAsia="Calibri" w:hAnsi="Times New Roman" w:cs="Times New Roman"/>
                <w:sz w:val="20"/>
                <w:szCs w:val="20"/>
              </w:rPr>
            </w:pPr>
          </w:p>
          <w:p w14:paraId="2ACA7B8A" w14:textId="77777777" w:rsidR="003C3D4C" w:rsidRPr="00EE294E" w:rsidRDefault="003C3D4C" w:rsidP="003C3D4C">
            <w:pPr>
              <w:jc w:val="both"/>
              <w:rPr>
                <w:rFonts w:ascii="Times New Roman" w:eastAsia="Calibri" w:hAnsi="Times New Roman" w:cs="Times New Roman"/>
                <w:sz w:val="20"/>
                <w:szCs w:val="20"/>
              </w:rPr>
            </w:pPr>
            <w:r w:rsidRPr="00EE294E">
              <w:rPr>
                <w:rFonts w:ascii="Times New Roman" w:eastAsia="Calibri" w:hAnsi="Times New Roman" w:cs="Times New Roman"/>
                <w:sz w:val="20"/>
                <w:szCs w:val="20"/>
              </w:rPr>
              <w:t>e) Çdo referencë që identifikon në mënyrë të qartë pagesën;</w:t>
            </w:r>
          </w:p>
          <w:p w14:paraId="34F219E7" w14:textId="77777777" w:rsidR="003C3D4C" w:rsidRPr="00EE294E" w:rsidRDefault="003C3D4C" w:rsidP="003C3D4C">
            <w:pPr>
              <w:jc w:val="both"/>
              <w:rPr>
                <w:rFonts w:ascii="Times New Roman" w:eastAsia="Calibri" w:hAnsi="Times New Roman" w:cs="Times New Roman"/>
                <w:sz w:val="20"/>
                <w:szCs w:val="20"/>
              </w:rPr>
            </w:pPr>
          </w:p>
          <w:p w14:paraId="46D8724F" w14:textId="77777777" w:rsidR="003C3D4C" w:rsidRPr="00EE294E" w:rsidRDefault="003C3D4C" w:rsidP="003C3D4C">
            <w:pPr>
              <w:jc w:val="both"/>
              <w:rPr>
                <w:rFonts w:ascii="Times New Roman" w:eastAsia="Calibri" w:hAnsi="Times New Roman" w:cs="Times New Roman"/>
                <w:sz w:val="20"/>
                <w:szCs w:val="20"/>
              </w:rPr>
            </w:pPr>
            <w:r w:rsidRPr="00EE294E">
              <w:rPr>
                <w:rFonts w:ascii="Times New Roman" w:eastAsia="Calibri" w:hAnsi="Times New Roman" w:cs="Times New Roman"/>
                <w:sz w:val="20"/>
                <w:szCs w:val="20"/>
              </w:rPr>
              <w:lastRenderedPageBreak/>
              <w:t>f) Informacion që pagesa është filluar në ambientet fizike të subjektit, nëse është e zbatueshme.</w:t>
            </w:r>
          </w:p>
          <w:p w14:paraId="78A60DCC" w14:textId="77777777" w:rsidR="003C3D4C" w:rsidRPr="00EE294E" w:rsidRDefault="003C3D4C" w:rsidP="003C3D4C">
            <w:pPr>
              <w:jc w:val="both"/>
              <w:rPr>
                <w:rFonts w:ascii="Times New Roman" w:eastAsia="Calibri" w:hAnsi="Times New Roman" w:cs="Times New Roman"/>
                <w:sz w:val="20"/>
                <w:szCs w:val="20"/>
              </w:rPr>
            </w:pPr>
          </w:p>
          <w:p w14:paraId="3486BF7E" w14:textId="156C47CB" w:rsidR="003C045B" w:rsidRPr="00EE294E" w:rsidRDefault="003C3D4C" w:rsidP="003C3D4C">
            <w:pPr>
              <w:jc w:val="both"/>
              <w:rPr>
                <w:rFonts w:ascii="Times New Roman" w:eastAsia="Calibri" w:hAnsi="Times New Roman" w:cs="Times New Roman"/>
                <w:sz w:val="20"/>
                <w:szCs w:val="20"/>
              </w:rPr>
            </w:pPr>
            <w:r w:rsidRPr="00EE294E">
              <w:rPr>
                <w:rFonts w:ascii="Times New Roman" w:eastAsia="Calibri" w:hAnsi="Times New Roman" w:cs="Times New Roman"/>
                <w:sz w:val="20"/>
                <w:szCs w:val="20"/>
              </w:rPr>
              <w:t>3.</w:t>
            </w:r>
            <w:r w:rsidRPr="00EE294E">
              <w:rPr>
                <w:rFonts w:ascii="Times New Roman" w:eastAsia="Calibri" w:hAnsi="Times New Roman" w:cs="Times New Roman"/>
                <w:sz w:val="20"/>
                <w:szCs w:val="20"/>
              </w:rPr>
              <w:tab/>
              <w:t>Të dhënat sipas pikave 1 dhe 2 të këtij neni duhet të jenë të sakta, të plota dhe të gatshme për transmetim në CESOP mbi pagesat ndërkufitare nga Drejtoria e Përgjithshme e Tatimeve.</w:t>
            </w:r>
          </w:p>
        </w:tc>
        <w:tc>
          <w:tcPr>
            <w:tcW w:w="720" w:type="dxa"/>
            <w:tcBorders>
              <w:bottom w:val="dashed" w:sz="4" w:space="0" w:color="auto"/>
            </w:tcBorders>
          </w:tcPr>
          <w:p w14:paraId="306D02AA" w14:textId="316F4C39" w:rsidR="003C045B" w:rsidRPr="00EE294E" w:rsidRDefault="003C045B" w:rsidP="003C045B">
            <w:pPr>
              <w:jc w:val="center"/>
              <w:rPr>
                <w:rFonts w:ascii="Times New Roman" w:eastAsia="Calibri" w:hAnsi="Times New Roman" w:cs="Times New Roman"/>
                <w:sz w:val="20"/>
                <w:szCs w:val="20"/>
                <w:lang w:val="en-US"/>
              </w:rPr>
            </w:pPr>
            <w:r w:rsidRPr="00EE294E">
              <w:rPr>
                <w:rFonts w:ascii="Times New Roman" w:eastAsia="Calibri" w:hAnsi="Times New Roman" w:cs="Times New Roman"/>
                <w:sz w:val="20"/>
                <w:szCs w:val="20"/>
                <w:lang w:val="en-US"/>
              </w:rPr>
              <w:lastRenderedPageBreak/>
              <w:t>F</w:t>
            </w:r>
          </w:p>
        </w:tc>
        <w:tc>
          <w:tcPr>
            <w:tcW w:w="3510" w:type="dxa"/>
            <w:tcBorders>
              <w:bottom w:val="dashed" w:sz="4" w:space="0" w:color="auto"/>
            </w:tcBorders>
          </w:tcPr>
          <w:p w14:paraId="3F0E449E" w14:textId="6FCB13F1" w:rsidR="00F4245C" w:rsidRPr="00EE294E" w:rsidRDefault="003C045B" w:rsidP="003C045B">
            <w:pPr>
              <w:rPr>
                <w:rFonts w:ascii="Times New Roman" w:eastAsia="Times New Roman" w:hAnsi="Times New Roman" w:cs="Times New Roman"/>
                <w:sz w:val="20"/>
                <w:szCs w:val="20"/>
              </w:rPr>
            </w:pPr>
            <w:r w:rsidRPr="00EE294E">
              <w:rPr>
                <w:rFonts w:ascii="Times New Roman" w:eastAsia="Times New Roman" w:hAnsi="Times New Roman" w:cs="Times New Roman"/>
                <w:sz w:val="20"/>
                <w:szCs w:val="20"/>
              </w:rPr>
              <w:t>Plotësisht në përputhje.</w:t>
            </w:r>
          </w:p>
          <w:p w14:paraId="610C0EF2" w14:textId="22D17F97" w:rsidR="003C045B" w:rsidRPr="00EE294E" w:rsidRDefault="00F4245C" w:rsidP="003C045B">
            <w:pPr>
              <w:rPr>
                <w:rFonts w:ascii="Times New Roman" w:eastAsia="Calibri" w:hAnsi="Times New Roman" w:cs="Times New Roman"/>
                <w:sz w:val="20"/>
                <w:szCs w:val="20"/>
                <w:lang w:val="en-US"/>
              </w:rPr>
            </w:pPr>
            <w:r w:rsidRPr="00EE294E">
              <w:rPr>
                <w:rFonts w:ascii="Times New Roman" w:eastAsia="Times New Roman" w:hAnsi="Times New Roman" w:cs="Times New Roman"/>
                <w:sz w:val="20"/>
                <w:szCs w:val="20"/>
              </w:rPr>
              <w:t xml:space="preserve">Neni 10 përfshin të gjithë identifikuesit e ofruesit dhe përfituesit (BIC, IBAN, çdo identifikues unik), vendndodhjen, të dhënat e transaksionit dhe të rimbursimit, origjinën dhe destinacionin e pagesës, referencat, informacionin mbi pagesat fizike, ruajtjen për tre vjet dhe gatishmërinë për transmetim në sistemin elektronik </w:t>
            </w:r>
            <w:r w:rsidR="003C045B" w:rsidRPr="00EE294E">
              <w:rPr>
                <w:rFonts w:ascii="Times New Roman" w:eastAsia="Times New Roman" w:hAnsi="Times New Roman" w:cs="Times New Roman"/>
                <w:sz w:val="20"/>
                <w:szCs w:val="20"/>
              </w:rPr>
              <w:t>të administruar nga Drejtoria e Përgjithshme e Tatimeve.</w:t>
            </w:r>
          </w:p>
        </w:tc>
      </w:tr>
      <w:tr w:rsidR="003C045B" w:rsidRPr="00EE294E" w14:paraId="6F670772" w14:textId="77777777" w:rsidTr="00990A3C">
        <w:trPr>
          <w:trHeight w:val="359"/>
        </w:trPr>
        <w:tc>
          <w:tcPr>
            <w:tcW w:w="540" w:type="dxa"/>
            <w:shd w:val="clear" w:color="auto" w:fill="D0CECE" w:themeFill="background2" w:themeFillShade="E6"/>
          </w:tcPr>
          <w:p w14:paraId="516FA109" w14:textId="662FCCB3" w:rsidR="003C045B" w:rsidRPr="00EE294E" w:rsidRDefault="003C045B" w:rsidP="003C045B">
            <w:pPr>
              <w:jc w:val="both"/>
              <w:rPr>
                <w:rFonts w:ascii="Times New Roman" w:eastAsia="Calibri" w:hAnsi="Times New Roman" w:cs="Times New Roman"/>
                <w:sz w:val="20"/>
                <w:szCs w:val="20"/>
                <w:lang w:val="en-US"/>
              </w:rPr>
            </w:pPr>
          </w:p>
        </w:tc>
        <w:tc>
          <w:tcPr>
            <w:tcW w:w="5400" w:type="dxa"/>
            <w:shd w:val="clear" w:color="auto" w:fill="D0CECE" w:themeFill="background2" w:themeFillShade="E6"/>
          </w:tcPr>
          <w:p w14:paraId="14FF2EF8" w14:textId="081D46BF" w:rsidR="003C045B" w:rsidRPr="00EE294E" w:rsidRDefault="003C045B" w:rsidP="003C045B">
            <w:pPr>
              <w:contextualSpacing/>
              <w:jc w:val="both"/>
              <w:rPr>
                <w:rFonts w:ascii="Times New Roman" w:eastAsia="Calibri" w:hAnsi="Times New Roman" w:cs="Times New Roman"/>
                <w:iCs/>
                <w:sz w:val="20"/>
                <w:szCs w:val="20"/>
                <w:lang w:val="en-US"/>
              </w:rPr>
            </w:pPr>
          </w:p>
        </w:tc>
        <w:tc>
          <w:tcPr>
            <w:tcW w:w="450" w:type="dxa"/>
            <w:shd w:val="clear" w:color="auto" w:fill="D0CECE" w:themeFill="background2" w:themeFillShade="E6"/>
          </w:tcPr>
          <w:p w14:paraId="5F89BF63" w14:textId="5780ED52" w:rsidR="003C045B" w:rsidRPr="00EE294E" w:rsidRDefault="003C045B" w:rsidP="003C045B">
            <w:pPr>
              <w:jc w:val="center"/>
              <w:rPr>
                <w:rFonts w:ascii="Times New Roman" w:eastAsia="Calibri" w:hAnsi="Times New Roman" w:cs="Times New Roman"/>
                <w:sz w:val="20"/>
                <w:szCs w:val="20"/>
              </w:rPr>
            </w:pPr>
          </w:p>
        </w:tc>
        <w:tc>
          <w:tcPr>
            <w:tcW w:w="644" w:type="dxa"/>
            <w:shd w:val="clear" w:color="auto" w:fill="D0CECE" w:themeFill="background2" w:themeFillShade="E6"/>
          </w:tcPr>
          <w:p w14:paraId="19D19203" w14:textId="13FC777F" w:rsidR="003C045B" w:rsidRPr="00EE294E" w:rsidRDefault="003C045B" w:rsidP="003C045B">
            <w:pPr>
              <w:jc w:val="center"/>
              <w:rPr>
                <w:rFonts w:ascii="Times New Roman" w:eastAsia="Calibri" w:hAnsi="Times New Roman" w:cs="Times New Roman"/>
                <w:sz w:val="20"/>
                <w:szCs w:val="20"/>
                <w:lang w:val="en-US"/>
              </w:rPr>
            </w:pPr>
          </w:p>
        </w:tc>
        <w:tc>
          <w:tcPr>
            <w:tcW w:w="5040" w:type="dxa"/>
            <w:tcBorders>
              <w:bottom w:val="dashed" w:sz="4" w:space="0" w:color="auto"/>
            </w:tcBorders>
            <w:shd w:val="clear" w:color="auto" w:fill="D0CECE" w:themeFill="background2" w:themeFillShade="E6"/>
          </w:tcPr>
          <w:p w14:paraId="3EAFC399" w14:textId="77777777" w:rsidR="003C3D4C" w:rsidRPr="00EE294E" w:rsidRDefault="003C3D4C" w:rsidP="003C3D4C">
            <w:pPr>
              <w:widowControl w:val="0"/>
              <w:tabs>
                <w:tab w:val="left" w:pos="1464"/>
              </w:tabs>
              <w:autoSpaceDE w:val="0"/>
              <w:autoSpaceDN w:val="0"/>
              <w:jc w:val="center"/>
              <w:rPr>
                <w:rFonts w:ascii="Times New Roman" w:hAnsi="Times New Roman" w:cs="Times New Roman"/>
                <w:b/>
                <w:bCs/>
                <w:sz w:val="20"/>
                <w:szCs w:val="20"/>
                <w:lang w:val="it-CH"/>
              </w:rPr>
            </w:pPr>
            <w:r w:rsidRPr="00EE294E">
              <w:rPr>
                <w:rFonts w:ascii="Times New Roman" w:hAnsi="Times New Roman" w:cs="Times New Roman"/>
                <w:b/>
                <w:bCs/>
                <w:sz w:val="20"/>
                <w:szCs w:val="20"/>
                <w:lang w:val="it-CH"/>
              </w:rPr>
              <w:t>Neni 11</w:t>
            </w:r>
          </w:p>
          <w:p w14:paraId="17DB30F1" w14:textId="77EF9A26" w:rsidR="003C045B" w:rsidRPr="00EE294E" w:rsidRDefault="003C3D4C" w:rsidP="003C3D4C">
            <w:pPr>
              <w:widowControl w:val="0"/>
              <w:tabs>
                <w:tab w:val="left" w:pos="1464"/>
              </w:tabs>
              <w:autoSpaceDE w:val="0"/>
              <w:autoSpaceDN w:val="0"/>
              <w:jc w:val="center"/>
              <w:rPr>
                <w:rFonts w:ascii="Times New Roman" w:hAnsi="Times New Roman" w:cs="Times New Roman"/>
                <w:sz w:val="20"/>
                <w:szCs w:val="20"/>
                <w:lang w:val="it-CH"/>
              </w:rPr>
            </w:pPr>
            <w:r w:rsidRPr="00EE294E">
              <w:rPr>
                <w:rFonts w:ascii="Times New Roman" w:hAnsi="Times New Roman" w:cs="Times New Roman"/>
                <w:b/>
                <w:bCs/>
                <w:sz w:val="20"/>
                <w:szCs w:val="20"/>
                <w:lang w:val="it-CH"/>
              </w:rPr>
              <w:t>Mbledhja dhe trasmetimi i të dhënave nga Drejtoria e Përgjithshme e Tatimeve</w:t>
            </w:r>
          </w:p>
        </w:tc>
        <w:tc>
          <w:tcPr>
            <w:tcW w:w="720" w:type="dxa"/>
            <w:tcBorders>
              <w:bottom w:val="dashed" w:sz="4" w:space="0" w:color="auto"/>
            </w:tcBorders>
            <w:shd w:val="clear" w:color="auto" w:fill="D0CECE" w:themeFill="background2" w:themeFillShade="E6"/>
          </w:tcPr>
          <w:p w14:paraId="4EF15BB3" w14:textId="167A9313" w:rsidR="003C045B" w:rsidRPr="00EE294E" w:rsidRDefault="003C045B" w:rsidP="003C045B">
            <w:pPr>
              <w:jc w:val="center"/>
              <w:rPr>
                <w:rFonts w:ascii="Times New Roman" w:eastAsia="Calibri" w:hAnsi="Times New Roman" w:cs="Times New Roman"/>
                <w:sz w:val="20"/>
                <w:szCs w:val="20"/>
                <w:lang w:val="it-CH"/>
              </w:rPr>
            </w:pPr>
          </w:p>
        </w:tc>
        <w:tc>
          <w:tcPr>
            <w:tcW w:w="3510" w:type="dxa"/>
            <w:tcBorders>
              <w:bottom w:val="dashed" w:sz="4" w:space="0" w:color="auto"/>
            </w:tcBorders>
            <w:shd w:val="clear" w:color="auto" w:fill="D0CECE" w:themeFill="background2" w:themeFillShade="E6"/>
          </w:tcPr>
          <w:p w14:paraId="1C57CD2D" w14:textId="70AFF08A" w:rsidR="003C045B" w:rsidRPr="00EE294E" w:rsidRDefault="003C045B" w:rsidP="003C045B">
            <w:pPr>
              <w:rPr>
                <w:rFonts w:ascii="Times New Roman" w:eastAsia="Calibri" w:hAnsi="Times New Roman" w:cs="Times New Roman"/>
                <w:sz w:val="20"/>
                <w:szCs w:val="20"/>
                <w:lang w:val="it-CH"/>
              </w:rPr>
            </w:pPr>
          </w:p>
        </w:tc>
      </w:tr>
      <w:tr w:rsidR="003C045B" w:rsidRPr="00EE294E" w14:paraId="71F4D229" w14:textId="77777777" w:rsidTr="004738EE">
        <w:tc>
          <w:tcPr>
            <w:tcW w:w="540" w:type="dxa"/>
          </w:tcPr>
          <w:p w14:paraId="5E9580EC" w14:textId="38D2E61A" w:rsidR="003C045B" w:rsidRPr="00EE294E" w:rsidRDefault="003C045B" w:rsidP="003C045B">
            <w:pPr>
              <w:jc w:val="both"/>
              <w:rPr>
                <w:rFonts w:ascii="Times New Roman" w:eastAsia="Calibri" w:hAnsi="Times New Roman" w:cs="Times New Roman"/>
                <w:sz w:val="20"/>
                <w:szCs w:val="20"/>
                <w:lang w:val="it-CH"/>
              </w:rPr>
            </w:pPr>
          </w:p>
        </w:tc>
        <w:tc>
          <w:tcPr>
            <w:tcW w:w="5400" w:type="dxa"/>
          </w:tcPr>
          <w:p w14:paraId="1CA8D7E5" w14:textId="77777777" w:rsidR="003C045B" w:rsidRPr="00EE294E" w:rsidRDefault="003C045B" w:rsidP="007022FA">
            <w:pPr>
              <w:pStyle w:val="Heading2"/>
              <w:spacing w:before="0" w:after="120"/>
              <w:rPr>
                <w:rStyle w:val="legamendingtext"/>
                <w:rFonts w:ascii="Times New Roman" w:eastAsiaTheme="minorHAnsi" w:hAnsi="Times New Roman" w:cs="Times New Roman"/>
                <w:color w:val="000000"/>
                <w:kern w:val="2"/>
                <w:sz w:val="20"/>
                <w:szCs w:val="20"/>
                <w:lang w:val="it-CH"/>
                <w14:ligatures w14:val="standardContextual"/>
              </w:rPr>
            </w:pPr>
          </w:p>
          <w:p w14:paraId="7620F9CA" w14:textId="0ABA0044" w:rsidR="003C045B" w:rsidRPr="00EE294E" w:rsidRDefault="003C045B" w:rsidP="007022FA">
            <w:pPr>
              <w:pStyle w:val="Heading2"/>
              <w:spacing w:before="0" w:after="120"/>
              <w:rPr>
                <w:rFonts w:ascii="Times New Roman" w:hAnsi="Times New Roman" w:cs="Times New Roman"/>
                <w:color w:val="000000"/>
                <w:sz w:val="20"/>
                <w:szCs w:val="20"/>
              </w:rPr>
            </w:pPr>
            <w:r w:rsidRPr="00EE294E">
              <w:rPr>
                <w:rStyle w:val="legamendingtext"/>
                <w:rFonts w:ascii="Times New Roman" w:hAnsi="Times New Roman" w:cs="Times New Roman"/>
                <w:color w:val="000000"/>
                <w:sz w:val="20"/>
                <w:szCs w:val="20"/>
              </w:rPr>
              <w:t>Neni 24b</w:t>
            </w:r>
          </w:p>
          <w:p w14:paraId="6A1BB1D1" w14:textId="77777777" w:rsidR="003C045B" w:rsidRPr="00EE294E" w:rsidRDefault="003C045B" w:rsidP="007022FA">
            <w:pPr>
              <w:pStyle w:val="legclearfix"/>
              <w:shd w:val="clear" w:color="auto" w:fill="FFFFFF"/>
              <w:spacing w:before="0" w:beforeAutospacing="0" w:after="240" w:afterAutospacing="0"/>
              <w:rPr>
                <w:color w:val="1E1E1E"/>
                <w:sz w:val="20"/>
                <w:szCs w:val="20"/>
              </w:rPr>
            </w:pPr>
            <w:r w:rsidRPr="00EE294E">
              <w:rPr>
                <w:rStyle w:val="legamendingtext"/>
                <w:color w:val="1E1E1E"/>
                <w:sz w:val="20"/>
                <w:szCs w:val="20"/>
              </w:rPr>
              <w:t>1. Çdo Shtet Anëtar mbledh informacionin mbi përfituesit dhe pagesat e përmendura në Nenin 243b të Direktivës 2006/112/KE.</w:t>
            </w:r>
          </w:p>
          <w:p w14:paraId="43818D72" w14:textId="77777777" w:rsidR="003C045B" w:rsidRPr="00EE294E" w:rsidRDefault="003C045B" w:rsidP="007022FA">
            <w:pPr>
              <w:pStyle w:val="legrhs"/>
              <w:shd w:val="clear" w:color="auto" w:fill="FFFFFF"/>
              <w:spacing w:before="0" w:beforeAutospacing="0" w:after="240" w:afterAutospacing="0"/>
              <w:jc w:val="both"/>
              <w:rPr>
                <w:color w:val="1E1E1E"/>
                <w:sz w:val="20"/>
                <w:szCs w:val="20"/>
              </w:rPr>
            </w:pPr>
            <w:r w:rsidRPr="00EE294E">
              <w:rPr>
                <w:rStyle w:val="legamendingtext"/>
                <w:color w:val="1E1E1E"/>
                <w:sz w:val="20"/>
                <w:szCs w:val="20"/>
              </w:rPr>
              <w:t>Çdo Shtet Anëtar mbledh informacionin e përmendur në nënparagrafin e parë nga ofruesit e shërbimit të pagesave:</w:t>
            </w:r>
          </w:p>
          <w:p w14:paraId="5C1C252E" w14:textId="77777777" w:rsidR="003C045B" w:rsidRPr="00EE294E" w:rsidRDefault="003C045B" w:rsidP="007022FA">
            <w:pPr>
              <w:pStyle w:val="legclearfix"/>
              <w:shd w:val="clear" w:color="auto" w:fill="FFFFFF"/>
              <w:spacing w:before="0" w:beforeAutospacing="0" w:after="240" w:afterAutospacing="0"/>
              <w:rPr>
                <w:color w:val="1E1E1E"/>
                <w:sz w:val="20"/>
                <w:szCs w:val="20"/>
              </w:rPr>
            </w:pPr>
            <w:r w:rsidRPr="00EE294E">
              <w:rPr>
                <w:rStyle w:val="legamendingtext"/>
                <w:color w:val="1E1E1E"/>
                <w:sz w:val="20"/>
                <w:szCs w:val="20"/>
              </w:rPr>
              <w:t>(a) jo më vonë se fundi i muajit që pason tremujorin kalendarik me të cilin lidhet informacioni;</w:t>
            </w:r>
          </w:p>
          <w:p w14:paraId="3ECB3C96" w14:textId="77777777" w:rsidR="003C045B" w:rsidRPr="00EE294E" w:rsidRDefault="003C045B" w:rsidP="007022FA">
            <w:pPr>
              <w:pStyle w:val="legclearfix"/>
              <w:shd w:val="clear" w:color="auto" w:fill="FFFFFF"/>
              <w:spacing w:before="0" w:beforeAutospacing="0" w:after="240" w:afterAutospacing="0"/>
              <w:rPr>
                <w:color w:val="1E1E1E"/>
                <w:sz w:val="20"/>
                <w:szCs w:val="20"/>
              </w:rPr>
            </w:pPr>
            <w:r w:rsidRPr="00EE294E">
              <w:rPr>
                <w:rStyle w:val="legamendingtext"/>
                <w:color w:val="1E1E1E"/>
                <w:sz w:val="20"/>
                <w:szCs w:val="20"/>
              </w:rPr>
              <w:t>(b) me anë të një formulari standard elektronik.</w:t>
            </w:r>
          </w:p>
          <w:p w14:paraId="15E02F65" w14:textId="77777777" w:rsidR="003C045B" w:rsidRPr="00EE294E" w:rsidRDefault="003C045B" w:rsidP="007022FA">
            <w:pPr>
              <w:pStyle w:val="legclearfix"/>
              <w:shd w:val="clear" w:color="auto" w:fill="FFFFFF"/>
              <w:spacing w:before="0" w:beforeAutospacing="0" w:after="240" w:afterAutospacing="0"/>
              <w:rPr>
                <w:color w:val="1E1E1E"/>
                <w:sz w:val="20"/>
                <w:szCs w:val="20"/>
              </w:rPr>
            </w:pPr>
            <w:r w:rsidRPr="00EE294E">
              <w:rPr>
                <w:rStyle w:val="legamendingtext"/>
                <w:color w:val="1E1E1E"/>
                <w:sz w:val="20"/>
                <w:szCs w:val="20"/>
              </w:rPr>
              <w:t>2. Çdo Shtet Anëtar mund të ruajë informacionin e mbledhur në përputhje me paragrafin 1 në një sistem elektronik kombëtar.</w:t>
            </w:r>
          </w:p>
          <w:p w14:paraId="5486F48E" w14:textId="77777777" w:rsidR="003C045B" w:rsidRPr="00EE294E" w:rsidRDefault="003C045B" w:rsidP="007022FA">
            <w:pPr>
              <w:pStyle w:val="legclearfix"/>
              <w:shd w:val="clear" w:color="auto" w:fill="FFFFFF"/>
              <w:spacing w:before="0" w:beforeAutospacing="0" w:after="240" w:afterAutospacing="0"/>
              <w:rPr>
                <w:color w:val="1E1E1E"/>
                <w:sz w:val="20"/>
                <w:szCs w:val="20"/>
              </w:rPr>
            </w:pPr>
            <w:r w:rsidRPr="00EE294E">
              <w:rPr>
                <w:rStyle w:val="legamendingtext"/>
                <w:color w:val="1E1E1E"/>
                <w:sz w:val="20"/>
                <w:szCs w:val="20"/>
              </w:rPr>
              <w:t xml:space="preserve">3. Zyra qendrore e ndërlidhjes, ose departamentet e ndërlidhjes ose zyrtarët kompetentë të caktuar nga autoriteti kompetent i secilit Shtet Anëtar, duhet t'i transmetojnë CESOP-it informacionin e mbledhur në përputhje me paragrafin 1 jo më </w:t>
            </w:r>
            <w:r w:rsidRPr="00EE294E">
              <w:rPr>
                <w:rStyle w:val="legamendingtext"/>
                <w:color w:val="1E1E1E"/>
                <w:sz w:val="20"/>
                <w:szCs w:val="20"/>
              </w:rPr>
              <w:lastRenderedPageBreak/>
              <w:t>vonë se dita e dhjetë e muajit të dytë pas tremujorit kalendarik me të cilin lidhet informacioni.</w:t>
            </w:r>
          </w:p>
          <w:p w14:paraId="287FB5C7" w14:textId="21FCB10D" w:rsidR="003C045B" w:rsidRPr="00EE294E" w:rsidRDefault="003C045B" w:rsidP="00E1458D">
            <w:pPr>
              <w:jc w:val="both"/>
              <w:rPr>
                <w:rFonts w:ascii="Times New Roman" w:eastAsia="Calibri" w:hAnsi="Times New Roman" w:cs="Times New Roman"/>
                <w:iCs/>
                <w:sz w:val="20"/>
                <w:szCs w:val="20"/>
              </w:rPr>
            </w:pPr>
          </w:p>
        </w:tc>
        <w:tc>
          <w:tcPr>
            <w:tcW w:w="450" w:type="dxa"/>
          </w:tcPr>
          <w:p w14:paraId="4801E7A0" w14:textId="1D4E9A6D" w:rsidR="003C045B" w:rsidRPr="00EE294E" w:rsidRDefault="003C045B" w:rsidP="00E1458D">
            <w:pPr>
              <w:jc w:val="center"/>
              <w:rPr>
                <w:rFonts w:ascii="Times New Roman" w:eastAsia="Calibri" w:hAnsi="Times New Roman" w:cs="Times New Roman"/>
                <w:sz w:val="20"/>
                <w:szCs w:val="20"/>
              </w:rPr>
            </w:pPr>
          </w:p>
        </w:tc>
        <w:tc>
          <w:tcPr>
            <w:tcW w:w="644" w:type="dxa"/>
          </w:tcPr>
          <w:p w14:paraId="6BB648EA" w14:textId="4F5DEB6E" w:rsidR="003C045B" w:rsidRPr="00EE294E" w:rsidRDefault="003D7B59" w:rsidP="00E1458D">
            <w:pPr>
              <w:jc w:val="center"/>
              <w:rPr>
                <w:rFonts w:ascii="Times New Roman" w:eastAsia="Calibri" w:hAnsi="Times New Roman" w:cs="Times New Roman"/>
                <w:sz w:val="20"/>
                <w:szCs w:val="20"/>
                <w:lang w:val="en-US"/>
              </w:rPr>
            </w:pPr>
            <w:r w:rsidRPr="00EE294E">
              <w:rPr>
                <w:rFonts w:ascii="Times New Roman" w:eastAsia="Calibri" w:hAnsi="Times New Roman" w:cs="Times New Roman"/>
                <w:sz w:val="20"/>
                <w:szCs w:val="20"/>
                <w:lang w:val="en-US"/>
              </w:rPr>
              <w:t>Neni 11</w:t>
            </w:r>
          </w:p>
        </w:tc>
        <w:tc>
          <w:tcPr>
            <w:tcW w:w="5040" w:type="dxa"/>
          </w:tcPr>
          <w:p w14:paraId="234CB12A" w14:textId="1C6BD863" w:rsidR="00E1458D" w:rsidRPr="00EE294E" w:rsidRDefault="00E1458D" w:rsidP="007022FA">
            <w:pPr>
              <w:jc w:val="both"/>
              <w:rPr>
                <w:rFonts w:ascii="Times New Roman" w:eastAsia="Times New Roman" w:hAnsi="Times New Roman" w:cs="Times New Roman"/>
                <w:sz w:val="20"/>
                <w:szCs w:val="20"/>
              </w:rPr>
            </w:pPr>
          </w:p>
          <w:p w14:paraId="0A009D94" w14:textId="77777777" w:rsidR="003C3D4C" w:rsidRPr="00EE294E" w:rsidRDefault="003C3D4C" w:rsidP="003C3D4C">
            <w:pPr>
              <w:jc w:val="both"/>
              <w:rPr>
                <w:rFonts w:ascii="Times New Roman" w:eastAsia="Calibri" w:hAnsi="Times New Roman" w:cs="Times New Roman"/>
                <w:sz w:val="20"/>
                <w:szCs w:val="20"/>
                <w:lang w:val="sq-AL"/>
              </w:rPr>
            </w:pPr>
            <w:r w:rsidRPr="00EE294E">
              <w:rPr>
                <w:rFonts w:ascii="Times New Roman" w:eastAsia="Calibri" w:hAnsi="Times New Roman" w:cs="Times New Roman"/>
                <w:sz w:val="20"/>
                <w:szCs w:val="20"/>
                <w:lang w:val="sq-AL"/>
              </w:rPr>
              <w:t>1.</w:t>
            </w:r>
            <w:r w:rsidRPr="00EE294E">
              <w:rPr>
                <w:rFonts w:ascii="Times New Roman" w:eastAsia="Calibri" w:hAnsi="Times New Roman" w:cs="Times New Roman"/>
                <w:sz w:val="20"/>
                <w:szCs w:val="20"/>
                <w:lang w:val="sq-AL"/>
              </w:rPr>
              <w:tab/>
              <w:t>Drejtoria e Përgjithshme e Tatimeve mbledh informacionin e raportuar nga ofruesit e shërbimit të pagesës nëpërmjet formularit standard elektronik sipas Aneksit II të Rregullores Zbatuese (EU) 2022/1504 të Komisionit Europian, jo më vonë se fundi i muajit pasardhës pas përfundimit të tremujorit kalendarik të raportimit.</w:t>
            </w:r>
          </w:p>
          <w:p w14:paraId="54A9DBDB" w14:textId="77777777" w:rsidR="003C3D4C" w:rsidRPr="00EE294E" w:rsidRDefault="003C3D4C" w:rsidP="003C3D4C">
            <w:pPr>
              <w:jc w:val="both"/>
              <w:rPr>
                <w:rFonts w:ascii="Times New Roman" w:eastAsia="Calibri" w:hAnsi="Times New Roman" w:cs="Times New Roman"/>
                <w:sz w:val="20"/>
                <w:szCs w:val="20"/>
                <w:lang w:val="sq-AL"/>
              </w:rPr>
            </w:pPr>
          </w:p>
          <w:p w14:paraId="4F92ED84" w14:textId="13643707" w:rsidR="003C3D4C" w:rsidRPr="00EE294E" w:rsidRDefault="003C3D4C" w:rsidP="003C3D4C">
            <w:pPr>
              <w:jc w:val="both"/>
              <w:rPr>
                <w:rFonts w:ascii="Times New Roman" w:eastAsia="Calibri" w:hAnsi="Times New Roman" w:cs="Times New Roman"/>
                <w:sz w:val="20"/>
                <w:szCs w:val="20"/>
                <w:lang w:val="sq-AL"/>
              </w:rPr>
            </w:pPr>
            <w:r w:rsidRPr="00EE294E">
              <w:rPr>
                <w:rFonts w:ascii="Times New Roman" w:eastAsia="Calibri" w:hAnsi="Times New Roman" w:cs="Times New Roman"/>
                <w:sz w:val="20"/>
                <w:szCs w:val="20"/>
                <w:lang w:val="sq-AL"/>
              </w:rPr>
              <w:t>2.</w:t>
            </w:r>
            <w:r w:rsidRPr="00EE294E">
              <w:rPr>
                <w:rFonts w:ascii="Times New Roman" w:eastAsia="Calibri" w:hAnsi="Times New Roman" w:cs="Times New Roman"/>
                <w:sz w:val="20"/>
                <w:szCs w:val="20"/>
                <w:lang w:val="sq-AL"/>
              </w:rPr>
              <w:tab/>
              <w:t>Informacioni i mbledhur sipas pikës 1 të këtij neni i transmetohet CESOP nga zyrtarët kompetentë të caktuar nga Drejtori i Drejtorisë së Përgjithshme të Tatimeve jo më vonë se dita e dhjetë e muajit të dytë pas përfundimit të tremujorit kalendarik të raportimit, në mënyrë automatike dhe në formatin standard sipas pikës 1 të këtij neni.</w:t>
            </w:r>
          </w:p>
          <w:p w14:paraId="611E2320" w14:textId="3DF98E47" w:rsidR="003C045B" w:rsidRPr="00EE294E" w:rsidRDefault="003C045B" w:rsidP="00E1458D">
            <w:pPr>
              <w:jc w:val="both"/>
              <w:rPr>
                <w:rFonts w:ascii="Times New Roman" w:eastAsia="Calibri" w:hAnsi="Times New Roman" w:cs="Times New Roman"/>
                <w:sz w:val="20"/>
                <w:szCs w:val="20"/>
                <w:lang w:val="sq-AL"/>
              </w:rPr>
            </w:pPr>
          </w:p>
        </w:tc>
        <w:tc>
          <w:tcPr>
            <w:tcW w:w="720" w:type="dxa"/>
          </w:tcPr>
          <w:p w14:paraId="5C366860" w14:textId="0436A09B" w:rsidR="003C045B" w:rsidRPr="00EE294E" w:rsidRDefault="003C045B" w:rsidP="00E1458D">
            <w:pPr>
              <w:jc w:val="center"/>
              <w:rPr>
                <w:rFonts w:ascii="Times New Roman" w:eastAsia="Calibri" w:hAnsi="Times New Roman" w:cs="Times New Roman"/>
                <w:sz w:val="20"/>
                <w:szCs w:val="20"/>
                <w:lang w:val="en-US"/>
              </w:rPr>
            </w:pPr>
            <w:r w:rsidRPr="00EE294E">
              <w:rPr>
                <w:rFonts w:ascii="Times New Roman" w:eastAsia="Calibri" w:hAnsi="Times New Roman" w:cs="Times New Roman"/>
                <w:sz w:val="20"/>
                <w:szCs w:val="20"/>
                <w:lang w:val="en-US"/>
              </w:rPr>
              <w:t>F</w:t>
            </w:r>
          </w:p>
        </w:tc>
        <w:tc>
          <w:tcPr>
            <w:tcW w:w="3510" w:type="dxa"/>
          </w:tcPr>
          <w:p w14:paraId="56F865A3" w14:textId="408A8BF4" w:rsidR="0009621F" w:rsidRPr="00EE294E" w:rsidRDefault="0009621F" w:rsidP="00E1458D">
            <w:pPr>
              <w:rPr>
                <w:rFonts w:ascii="Times New Roman" w:hAnsi="Times New Roman" w:cs="Times New Roman"/>
                <w:color w:val="000000" w:themeColor="text1"/>
                <w:sz w:val="20"/>
                <w:szCs w:val="20"/>
              </w:rPr>
            </w:pPr>
            <w:r w:rsidRPr="00EE294E">
              <w:rPr>
                <w:rFonts w:ascii="Times New Roman" w:hAnsi="Times New Roman" w:cs="Times New Roman"/>
                <w:color w:val="000000" w:themeColor="text1"/>
                <w:sz w:val="20"/>
                <w:szCs w:val="20"/>
              </w:rPr>
              <w:t>Në përputhje.</w:t>
            </w:r>
          </w:p>
          <w:p w14:paraId="0587144A" w14:textId="77777777" w:rsidR="0009621F" w:rsidRPr="00EE294E" w:rsidRDefault="0009621F" w:rsidP="00E1458D">
            <w:pPr>
              <w:rPr>
                <w:rFonts w:ascii="Times New Roman" w:hAnsi="Times New Roman" w:cs="Times New Roman"/>
                <w:color w:val="000000" w:themeColor="text1"/>
                <w:sz w:val="20"/>
                <w:szCs w:val="20"/>
              </w:rPr>
            </w:pPr>
          </w:p>
          <w:p w14:paraId="547CF5C3" w14:textId="1E27D9D2" w:rsidR="003C045B" w:rsidRPr="00EE294E" w:rsidRDefault="0009621F" w:rsidP="00E1458D">
            <w:pPr>
              <w:rPr>
                <w:rFonts w:ascii="Times New Roman" w:hAnsi="Times New Roman" w:cs="Times New Roman"/>
                <w:color w:val="000000" w:themeColor="text1"/>
                <w:sz w:val="20"/>
                <w:szCs w:val="20"/>
              </w:rPr>
            </w:pPr>
            <w:r w:rsidRPr="00EE294E">
              <w:rPr>
                <w:rFonts w:ascii="Times New Roman" w:hAnsi="Times New Roman" w:cs="Times New Roman"/>
                <w:color w:val="000000" w:themeColor="text1"/>
                <w:sz w:val="20"/>
                <w:szCs w:val="20"/>
              </w:rPr>
              <w:t xml:space="preserve">Ky artikull është </w:t>
            </w:r>
            <w:r w:rsidR="003C045B" w:rsidRPr="00EE294E">
              <w:rPr>
                <w:rStyle w:val="Strong"/>
                <w:rFonts w:ascii="Times New Roman" w:hAnsi="Times New Roman" w:cs="Times New Roman"/>
                <w:b w:val="0"/>
                <w:bCs w:val="0"/>
                <w:color w:val="000000" w:themeColor="text1"/>
                <w:sz w:val="20"/>
                <w:szCs w:val="20"/>
              </w:rPr>
              <w:t xml:space="preserve">plotësisht në përputhje </w:t>
            </w:r>
            <w:r w:rsidR="003C045B" w:rsidRPr="00EE294E">
              <w:rPr>
                <w:rFonts w:ascii="Times New Roman" w:hAnsi="Times New Roman" w:cs="Times New Roman"/>
                <w:color w:val="000000" w:themeColor="text1"/>
                <w:sz w:val="20"/>
                <w:szCs w:val="20"/>
              </w:rPr>
              <w:t>me Nenin 24/b të Rregullores së Këshillit Nr. 2020/283, pasi përfshin si afatet ashtu edhe mënyrën automatike të transmetimit të të dhënave në formatin standard të përcaktuar nga Komisioni Evropian.</w:t>
            </w:r>
          </w:p>
          <w:p w14:paraId="0E5DD6CD" w14:textId="77777777" w:rsidR="0009621F" w:rsidRPr="00EE294E" w:rsidRDefault="0009621F" w:rsidP="00E1458D">
            <w:pPr>
              <w:rPr>
                <w:rStyle w:val="legamendingtext"/>
                <w:rFonts w:ascii="Times New Roman" w:hAnsi="Times New Roman" w:cs="Times New Roman"/>
                <w:color w:val="1E1E1E"/>
                <w:sz w:val="20"/>
                <w:szCs w:val="20"/>
              </w:rPr>
            </w:pPr>
          </w:p>
          <w:p w14:paraId="2C4BC5ED" w14:textId="4AED5835" w:rsidR="00E1458D" w:rsidRPr="00EE294E" w:rsidRDefault="00E1458D" w:rsidP="00E1458D">
            <w:pPr>
              <w:rPr>
                <w:rFonts w:ascii="Times New Roman" w:eastAsia="Calibri" w:hAnsi="Times New Roman" w:cs="Times New Roman"/>
                <w:sz w:val="20"/>
                <w:szCs w:val="20"/>
              </w:rPr>
            </w:pPr>
            <w:r w:rsidRPr="00EE294E">
              <w:rPr>
                <w:rStyle w:val="legamendingtext"/>
                <w:rFonts w:ascii="Times New Roman" w:hAnsi="Times New Roman" w:cs="Times New Roman"/>
                <w:color w:val="1E1E1E"/>
                <w:sz w:val="20"/>
                <w:szCs w:val="20"/>
              </w:rPr>
              <w:t xml:space="preserve">Sipas pikës 3 të nenit 24b dhe pikës 2 të nenit 11 të ligjit shqiptar, Drejtori i </w:t>
            </w:r>
            <w:r w:rsidRPr="00EE294E">
              <w:rPr>
                <w:rFonts w:ascii="Times New Roman" w:eastAsia="Times New Roman" w:hAnsi="Times New Roman" w:cs="Times New Roman"/>
                <w:sz w:val="20"/>
                <w:szCs w:val="20"/>
              </w:rPr>
              <w:t xml:space="preserve">Drejtorisë së Përgjithshme të Tatimeve do të </w:t>
            </w:r>
            <w:r w:rsidRPr="00EE294E">
              <w:rPr>
                <w:rStyle w:val="legamendingtext"/>
                <w:rFonts w:ascii="Times New Roman" w:hAnsi="Times New Roman" w:cs="Times New Roman"/>
                <w:color w:val="1E1E1E"/>
                <w:sz w:val="20"/>
                <w:szCs w:val="20"/>
              </w:rPr>
              <w:t xml:space="preserve">caktojë </w:t>
            </w:r>
            <w:r w:rsidRPr="00EE294E">
              <w:rPr>
                <w:rFonts w:ascii="Times New Roman" w:eastAsia="Times New Roman" w:hAnsi="Times New Roman" w:cs="Times New Roman"/>
                <w:sz w:val="20"/>
                <w:szCs w:val="20"/>
              </w:rPr>
              <w:t xml:space="preserve">zyrtarët </w:t>
            </w:r>
            <w:r w:rsidRPr="00EE294E">
              <w:rPr>
                <w:rStyle w:val="legamendingtext"/>
                <w:rFonts w:ascii="Times New Roman" w:hAnsi="Times New Roman" w:cs="Times New Roman"/>
                <w:color w:val="1E1E1E"/>
                <w:sz w:val="20"/>
                <w:szCs w:val="20"/>
              </w:rPr>
              <w:t>kompetentë për këtë qëllim.</w:t>
            </w:r>
          </w:p>
        </w:tc>
      </w:tr>
      <w:tr w:rsidR="003C045B" w:rsidRPr="00EE294E" w14:paraId="5E2E0282" w14:textId="77777777" w:rsidTr="00990A3C">
        <w:tc>
          <w:tcPr>
            <w:tcW w:w="540" w:type="dxa"/>
            <w:shd w:val="clear" w:color="auto" w:fill="D0CECE" w:themeFill="background2" w:themeFillShade="E6"/>
          </w:tcPr>
          <w:p w14:paraId="582F7085" w14:textId="1A5C7A5D" w:rsidR="003C045B" w:rsidRPr="00EE294E" w:rsidRDefault="003C045B" w:rsidP="003C045B">
            <w:pPr>
              <w:jc w:val="both"/>
              <w:rPr>
                <w:rFonts w:ascii="Times New Roman" w:eastAsia="Calibri" w:hAnsi="Times New Roman" w:cs="Times New Roman"/>
                <w:sz w:val="20"/>
                <w:szCs w:val="20"/>
              </w:rPr>
            </w:pPr>
          </w:p>
        </w:tc>
        <w:tc>
          <w:tcPr>
            <w:tcW w:w="5400" w:type="dxa"/>
            <w:shd w:val="clear" w:color="auto" w:fill="D0CECE" w:themeFill="background2" w:themeFillShade="E6"/>
          </w:tcPr>
          <w:p w14:paraId="2EFC8173" w14:textId="064AFFBB" w:rsidR="003C045B" w:rsidRPr="00EE294E" w:rsidRDefault="003C045B" w:rsidP="003C045B">
            <w:pPr>
              <w:jc w:val="both"/>
              <w:rPr>
                <w:rFonts w:ascii="Times New Roman" w:eastAsia="Calibri" w:hAnsi="Times New Roman" w:cs="Times New Roman"/>
                <w:iCs/>
                <w:sz w:val="20"/>
                <w:szCs w:val="20"/>
              </w:rPr>
            </w:pPr>
            <w:r w:rsidRPr="00EE294E">
              <w:rPr>
                <w:rFonts w:ascii="Times New Roman" w:hAnsi="Times New Roman" w:cs="Times New Roman"/>
                <w:sz w:val="20"/>
                <w:szCs w:val="20"/>
              </w:rPr>
              <w:t>Neni 7 Rolet dhe përgjegjësitë e kontrolluesve dhe përpunuesit</w:t>
            </w:r>
          </w:p>
        </w:tc>
        <w:tc>
          <w:tcPr>
            <w:tcW w:w="450" w:type="dxa"/>
            <w:shd w:val="clear" w:color="auto" w:fill="D0CECE" w:themeFill="background2" w:themeFillShade="E6"/>
          </w:tcPr>
          <w:p w14:paraId="3AAE473A" w14:textId="129A5E5C" w:rsidR="003C045B" w:rsidRPr="00EE294E" w:rsidRDefault="003C045B" w:rsidP="003C045B">
            <w:pPr>
              <w:jc w:val="center"/>
              <w:rPr>
                <w:rFonts w:ascii="Times New Roman" w:eastAsia="Calibri" w:hAnsi="Times New Roman" w:cs="Times New Roman"/>
                <w:sz w:val="20"/>
                <w:szCs w:val="20"/>
              </w:rPr>
            </w:pPr>
          </w:p>
        </w:tc>
        <w:tc>
          <w:tcPr>
            <w:tcW w:w="644" w:type="dxa"/>
            <w:shd w:val="clear" w:color="auto" w:fill="D0CECE" w:themeFill="background2" w:themeFillShade="E6"/>
          </w:tcPr>
          <w:p w14:paraId="76B7B6B8" w14:textId="3A7AC312" w:rsidR="003C045B" w:rsidRPr="00EE294E" w:rsidRDefault="003C045B" w:rsidP="003C045B">
            <w:pPr>
              <w:jc w:val="center"/>
              <w:rPr>
                <w:rFonts w:ascii="Times New Roman" w:eastAsia="Calibri" w:hAnsi="Times New Roman" w:cs="Times New Roman"/>
                <w:sz w:val="20"/>
                <w:szCs w:val="20"/>
              </w:rPr>
            </w:pPr>
          </w:p>
        </w:tc>
        <w:tc>
          <w:tcPr>
            <w:tcW w:w="5040" w:type="dxa"/>
            <w:shd w:val="clear" w:color="auto" w:fill="D0CECE" w:themeFill="background2" w:themeFillShade="E6"/>
          </w:tcPr>
          <w:p w14:paraId="03F3FC2C" w14:textId="77777777" w:rsidR="00201DBB" w:rsidRPr="00EE294E" w:rsidRDefault="00201DBB" w:rsidP="00816168">
            <w:pPr>
              <w:jc w:val="center"/>
              <w:rPr>
                <w:rFonts w:ascii="Times New Roman" w:hAnsi="Times New Roman" w:cs="Times New Roman"/>
                <w:sz w:val="20"/>
                <w:szCs w:val="20"/>
              </w:rPr>
            </w:pPr>
          </w:p>
          <w:p w14:paraId="49A0FF10" w14:textId="77777777" w:rsidR="003C3D4C" w:rsidRPr="00EE294E" w:rsidRDefault="003C3D4C" w:rsidP="003C3D4C">
            <w:pPr>
              <w:jc w:val="center"/>
              <w:rPr>
                <w:rFonts w:ascii="Times New Roman" w:eastAsia="Calibri" w:hAnsi="Times New Roman" w:cs="Times New Roman"/>
                <w:b/>
                <w:bCs/>
                <w:sz w:val="20"/>
                <w:szCs w:val="20"/>
                <w:lang w:val="it-CH"/>
              </w:rPr>
            </w:pPr>
            <w:r w:rsidRPr="00EE294E">
              <w:rPr>
                <w:rFonts w:ascii="Times New Roman" w:eastAsia="Calibri" w:hAnsi="Times New Roman" w:cs="Times New Roman"/>
                <w:b/>
                <w:bCs/>
                <w:sz w:val="20"/>
                <w:szCs w:val="20"/>
                <w:lang w:val="it-CH"/>
              </w:rPr>
              <w:t>Neni 12</w:t>
            </w:r>
          </w:p>
          <w:p w14:paraId="4065F742" w14:textId="77777777" w:rsidR="003C3D4C" w:rsidRPr="00EE294E" w:rsidRDefault="003C3D4C" w:rsidP="003C3D4C">
            <w:pPr>
              <w:jc w:val="center"/>
              <w:rPr>
                <w:rFonts w:ascii="Times New Roman" w:eastAsia="Calibri" w:hAnsi="Times New Roman" w:cs="Times New Roman"/>
                <w:b/>
                <w:bCs/>
                <w:sz w:val="20"/>
                <w:szCs w:val="20"/>
                <w:lang w:val="it-CH"/>
              </w:rPr>
            </w:pPr>
          </w:p>
          <w:p w14:paraId="770B5F4C" w14:textId="22CB6EC7" w:rsidR="003C045B" w:rsidRPr="00EE294E" w:rsidRDefault="003C3D4C" w:rsidP="003C3D4C">
            <w:pPr>
              <w:jc w:val="center"/>
              <w:rPr>
                <w:rFonts w:ascii="Times New Roman" w:eastAsia="Calibri" w:hAnsi="Times New Roman" w:cs="Times New Roman"/>
                <w:sz w:val="20"/>
                <w:szCs w:val="20"/>
                <w:highlight w:val="green"/>
                <w:lang w:val="it-CH"/>
              </w:rPr>
            </w:pPr>
            <w:r w:rsidRPr="00EE294E">
              <w:rPr>
                <w:rFonts w:ascii="Times New Roman" w:eastAsia="Calibri" w:hAnsi="Times New Roman" w:cs="Times New Roman"/>
                <w:b/>
                <w:bCs/>
                <w:sz w:val="20"/>
                <w:szCs w:val="20"/>
                <w:lang w:val="it-CH"/>
              </w:rPr>
              <w:t>Ruajtja dhe përdorimi i të dhënave nga Drejtoria e Përgjithshme e Tatimeve</w:t>
            </w:r>
          </w:p>
        </w:tc>
        <w:tc>
          <w:tcPr>
            <w:tcW w:w="720" w:type="dxa"/>
            <w:shd w:val="clear" w:color="auto" w:fill="D0CECE" w:themeFill="background2" w:themeFillShade="E6"/>
          </w:tcPr>
          <w:p w14:paraId="0A53E2B2" w14:textId="0DD25647" w:rsidR="003C045B" w:rsidRPr="00EE294E" w:rsidRDefault="003C045B" w:rsidP="003C045B">
            <w:pPr>
              <w:jc w:val="center"/>
              <w:rPr>
                <w:rFonts w:ascii="Times New Roman" w:eastAsia="Calibri" w:hAnsi="Times New Roman" w:cs="Times New Roman"/>
                <w:sz w:val="20"/>
                <w:szCs w:val="20"/>
                <w:lang w:val="it-CH"/>
              </w:rPr>
            </w:pPr>
          </w:p>
        </w:tc>
        <w:tc>
          <w:tcPr>
            <w:tcW w:w="3510" w:type="dxa"/>
            <w:shd w:val="clear" w:color="auto" w:fill="D0CECE" w:themeFill="background2" w:themeFillShade="E6"/>
          </w:tcPr>
          <w:p w14:paraId="772B9632" w14:textId="77777777" w:rsidR="003C045B" w:rsidRPr="00EE294E" w:rsidRDefault="003C045B" w:rsidP="003C045B">
            <w:pPr>
              <w:rPr>
                <w:rFonts w:ascii="Times New Roman" w:eastAsia="Calibri" w:hAnsi="Times New Roman" w:cs="Times New Roman"/>
                <w:sz w:val="20"/>
                <w:szCs w:val="20"/>
                <w:lang w:val="it-CH"/>
              </w:rPr>
            </w:pPr>
          </w:p>
        </w:tc>
      </w:tr>
      <w:tr w:rsidR="003C045B" w:rsidRPr="00EE294E" w14:paraId="4C9F021D" w14:textId="77777777" w:rsidTr="004738EE">
        <w:tc>
          <w:tcPr>
            <w:tcW w:w="540" w:type="dxa"/>
          </w:tcPr>
          <w:p w14:paraId="2623294B" w14:textId="316FAF13" w:rsidR="003C045B" w:rsidRPr="00EE294E" w:rsidRDefault="003C045B" w:rsidP="003C045B">
            <w:pPr>
              <w:jc w:val="both"/>
              <w:rPr>
                <w:rFonts w:ascii="Times New Roman" w:eastAsia="Calibri" w:hAnsi="Times New Roman" w:cs="Times New Roman"/>
                <w:sz w:val="20"/>
                <w:szCs w:val="20"/>
                <w:lang w:val="it-CH"/>
              </w:rPr>
            </w:pPr>
          </w:p>
        </w:tc>
        <w:tc>
          <w:tcPr>
            <w:tcW w:w="5400" w:type="dxa"/>
            <w:vMerge w:val="restart"/>
          </w:tcPr>
          <w:p w14:paraId="3460FF8D" w14:textId="77777777" w:rsidR="003C045B" w:rsidRPr="00EE294E" w:rsidRDefault="003C045B" w:rsidP="003C045B">
            <w:pPr>
              <w:shd w:val="clear" w:color="auto" w:fill="FFFFFF"/>
              <w:spacing w:before="120"/>
              <w:jc w:val="both"/>
              <w:rPr>
                <w:rFonts w:ascii="Times New Roman" w:eastAsia="Times New Roman" w:hAnsi="Times New Roman" w:cs="Times New Roman"/>
                <w:color w:val="000000"/>
                <w:sz w:val="20"/>
                <w:szCs w:val="20"/>
              </w:rPr>
            </w:pPr>
            <w:r w:rsidRPr="00EE294E">
              <w:rPr>
                <w:rFonts w:ascii="Times New Roman" w:eastAsia="Times New Roman" w:hAnsi="Times New Roman" w:cs="Times New Roman"/>
                <w:color w:val="000000"/>
                <w:sz w:val="20"/>
                <w:szCs w:val="20"/>
              </w:rPr>
              <w:t>1. Shtetet Anëtare do të jenë bashkërisht kontrollues, siç përcaktohet në nenin 4, pika (7), të Rregullores (BE) 2016/679, të CESOP-it. Përgjegjësitë e kontrolluesve të CESOP-it do të përcaktohen në një marrëveshje midis kontrolluesve, e cila do të përcaktojë rregullat për ushtrimin e të drejtave të subjektit të të dhënave dhe detyrat e tyre në lidhje me ofrimin e informacionit të përmendur në nenet 13 dhe 14 të Rregullores (BE) 2016/679.</w:t>
            </w:r>
          </w:p>
          <w:p w14:paraId="083882F1" w14:textId="77777777" w:rsidR="003C045B" w:rsidRPr="00EE294E" w:rsidRDefault="003C045B" w:rsidP="003C045B">
            <w:pPr>
              <w:shd w:val="clear" w:color="auto" w:fill="FFFFFF"/>
              <w:spacing w:before="120"/>
              <w:jc w:val="both"/>
              <w:rPr>
                <w:rFonts w:ascii="Times New Roman" w:eastAsia="Times New Roman" w:hAnsi="Times New Roman" w:cs="Times New Roman"/>
                <w:color w:val="000000"/>
                <w:sz w:val="20"/>
                <w:szCs w:val="20"/>
              </w:rPr>
            </w:pPr>
            <w:r w:rsidRPr="00EE294E">
              <w:rPr>
                <w:rFonts w:ascii="Times New Roman" w:eastAsia="Times New Roman" w:hAnsi="Times New Roman" w:cs="Times New Roman"/>
                <w:color w:val="000000"/>
                <w:sz w:val="20"/>
                <w:szCs w:val="20"/>
              </w:rPr>
              <w:t>Shtetet Anëtare do të jenë përgjegjëse për sa vijon:</w:t>
            </w:r>
          </w:p>
          <w:tbl>
            <w:tblPr>
              <w:tblW w:w="5000" w:type="pct"/>
              <w:tblLayout w:type="fixed"/>
              <w:tblCellMar>
                <w:left w:w="0" w:type="dxa"/>
                <w:right w:w="0" w:type="dxa"/>
              </w:tblCellMar>
              <w:tblLook w:val="04A0" w:firstRow="1" w:lastRow="0" w:firstColumn="1" w:lastColumn="0" w:noHBand="0" w:noVBand="1"/>
            </w:tblPr>
            <w:tblGrid>
              <w:gridCol w:w="175"/>
              <w:gridCol w:w="5009"/>
            </w:tblGrid>
            <w:tr w:rsidR="003C045B" w:rsidRPr="00EE294E" w14:paraId="624F36EA" w14:textId="77777777" w:rsidTr="0071079D">
              <w:tc>
                <w:tcPr>
                  <w:tcW w:w="301" w:type="dxa"/>
                  <w:hideMark/>
                </w:tcPr>
                <w:p w14:paraId="7B040C4C" w14:textId="77777777" w:rsidR="003C045B" w:rsidRPr="00EE294E" w:rsidRDefault="003C045B" w:rsidP="003C045B">
                  <w:pPr>
                    <w:spacing w:before="120" w:after="0" w:line="240" w:lineRule="auto"/>
                    <w:jc w:val="both"/>
                    <w:rPr>
                      <w:rFonts w:ascii="Times New Roman" w:eastAsia="Times New Roman" w:hAnsi="Times New Roman" w:cs="Times New Roman"/>
                      <w:kern w:val="0"/>
                      <w:sz w:val="20"/>
                      <w:szCs w:val="20"/>
                      <w14:ligatures w14:val="none"/>
                    </w:rPr>
                  </w:pPr>
                  <w:r w:rsidRPr="00EE294E">
                    <w:rPr>
                      <w:rFonts w:ascii="Times New Roman" w:eastAsia="Times New Roman" w:hAnsi="Times New Roman" w:cs="Times New Roman"/>
                      <w:kern w:val="0"/>
                      <w:sz w:val="20"/>
                      <w:szCs w:val="20"/>
                      <w14:ligatures w14:val="none"/>
                    </w:rPr>
                    <w:t>(a)</w:t>
                  </w:r>
                </w:p>
              </w:tc>
              <w:tc>
                <w:tcPr>
                  <w:tcW w:w="9059" w:type="dxa"/>
                  <w:hideMark/>
                </w:tcPr>
                <w:p w14:paraId="6558BB04" w14:textId="77777777" w:rsidR="003C045B" w:rsidRPr="00EE294E" w:rsidRDefault="003C045B" w:rsidP="003C045B">
                  <w:pPr>
                    <w:spacing w:before="120" w:after="0" w:line="240" w:lineRule="auto"/>
                    <w:jc w:val="both"/>
                    <w:rPr>
                      <w:rFonts w:ascii="Times New Roman" w:eastAsia="Times New Roman" w:hAnsi="Times New Roman" w:cs="Times New Roman"/>
                      <w:kern w:val="0"/>
                      <w:sz w:val="20"/>
                      <w:szCs w:val="20"/>
                      <w14:ligatures w14:val="none"/>
                    </w:rPr>
                  </w:pPr>
                  <w:r w:rsidRPr="00EE294E">
                    <w:rPr>
                      <w:rFonts w:ascii="Times New Roman" w:eastAsia="Times New Roman" w:hAnsi="Times New Roman" w:cs="Times New Roman"/>
                      <w:kern w:val="0"/>
                      <w:sz w:val="20"/>
                      <w:szCs w:val="20"/>
                      <w14:ligatures w14:val="none"/>
                    </w:rPr>
                    <w:t>hartimin e specifikimeve teknike të CESOP-it, dhe, kur është e nevojshme, përshtatjen e tyre, në mënyrë që Komisioni të jetë në gjendje të:</w:t>
                  </w:r>
                </w:p>
                <w:tbl>
                  <w:tblPr>
                    <w:tblW w:w="5000" w:type="pct"/>
                    <w:tblLayout w:type="fixed"/>
                    <w:tblCellMar>
                      <w:left w:w="0" w:type="dxa"/>
                      <w:right w:w="0" w:type="dxa"/>
                    </w:tblCellMar>
                    <w:tblLook w:val="04A0" w:firstRow="1" w:lastRow="0" w:firstColumn="1" w:lastColumn="0" w:noHBand="0" w:noVBand="1"/>
                  </w:tblPr>
                  <w:tblGrid>
                    <w:gridCol w:w="211"/>
                    <w:gridCol w:w="4798"/>
                  </w:tblGrid>
                  <w:tr w:rsidR="003C045B" w:rsidRPr="00EE294E" w14:paraId="1A65D794" w14:textId="77777777">
                    <w:tc>
                      <w:tcPr>
                        <w:tcW w:w="366" w:type="dxa"/>
                        <w:hideMark/>
                      </w:tcPr>
                      <w:p w14:paraId="180B6897" w14:textId="77777777" w:rsidR="003C045B" w:rsidRPr="00EE294E" w:rsidRDefault="003C045B" w:rsidP="003C045B">
                        <w:pPr>
                          <w:spacing w:before="120" w:after="0" w:line="240" w:lineRule="auto"/>
                          <w:jc w:val="both"/>
                          <w:rPr>
                            <w:rFonts w:ascii="Times New Roman" w:eastAsia="Times New Roman" w:hAnsi="Times New Roman" w:cs="Times New Roman"/>
                            <w:kern w:val="0"/>
                            <w:sz w:val="20"/>
                            <w:szCs w:val="20"/>
                            <w14:ligatures w14:val="none"/>
                          </w:rPr>
                        </w:pPr>
                        <w:r w:rsidRPr="00EE294E">
                          <w:rPr>
                            <w:rFonts w:ascii="Times New Roman" w:eastAsia="Times New Roman" w:hAnsi="Times New Roman" w:cs="Times New Roman"/>
                            <w:kern w:val="0"/>
                            <w:sz w:val="20"/>
                            <w:szCs w:val="20"/>
                            <w14:ligatures w14:val="none"/>
                          </w:rPr>
                          <w:t>(a)</w:t>
                        </w:r>
                      </w:p>
                    </w:tc>
                    <w:tc>
                      <w:tcPr>
                        <w:tcW w:w="8693" w:type="dxa"/>
                        <w:hideMark/>
                      </w:tcPr>
                      <w:p w14:paraId="08B81E0F" w14:textId="77777777" w:rsidR="003C045B" w:rsidRPr="00EE294E" w:rsidRDefault="003C045B" w:rsidP="003C045B">
                        <w:pPr>
                          <w:spacing w:before="120" w:after="0" w:line="240" w:lineRule="auto"/>
                          <w:jc w:val="both"/>
                          <w:rPr>
                            <w:rFonts w:ascii="Times New Roman" w:eastAsia="Times New Roman" w:hAnsi="Times New Roman" w:cs="Times New Roman"/>
                            <w:kern w:val="0"/>
                            <w:sz w:val="20"/>
                            <w:szCs w:val="20"/>
                            <w14:ligatures w14:val="none"/>
                          </w:rPr>
                        </w:pPr>
                        <w:r w:rsidRPr="00EE294E">
                          <w:rPr>
                            <w:rFonts w:ascii="Times New Roman" w:eastAsia="Times New Roman" w:hAnsi="Times New Roman" w:cs="Times New Roman"/>
                            <w:kern w:val="0"/>
                            <w:sz w:val="20"/>
                            <w:szCs w:val="20"/>
                            <w14:ligatures w14:val="none"/>
                          </w:rPr>
                          <w:t>të krijojë dhe mirëmbajë CESOP-in në përputhje me nenin 1 të kësaj Rregulloreje;</w:t>
                        </w:r>
                      </w:p>
                    </w:tc>
                  </w:tr>
                </w:tbl>
                <w:p w14:paraId="500C1019" w14:textId="77777777" w:rsidR="003C045B" w:rsidRPr="00EE294E" w:rsidRDefault="003C045B" w:rsidP="003C045B">
                  <w:pPr>
                    <w:spacing w:after="0" w:line="240" w:lineRule="auto"/>
                    <w:rPr>
                      <w:rFonts w:ascii="Times New Roman" w:eastAsia="Times New Roman" w:hAnsi="Times New Roman" w:cs="Times New Roman"/>
                      <w:vanish/>
                      <w:kern w:val="0"/>
                      <w:sz w:val="20"/>
                      <w:szCs w:val="20"/>
                      <w14:ligatures w14:val="none"/>
                    </w:rPr>
                  </w:pPr>
                </w:p>
                <w:tbl>
                  <w:tblPr>
                    <w:tblW w:w="5000" w:type="pct"/>
                    <w:tblLayout w:type="fixed"/>
                    <w:tblCellMar>
                      <w:left w:w="0" w:type="dxa"/>
                      <w:right w:w="0" w:type="dxa"/>
                    </w:tblCellMar>
                    <w:tblLook w:val="04A0" w:firstRow="1" w:lastRow="0" w:firstColumn="1" w:lastColumn="0" w:noHBand="0" w:noVBand="1"/>
                  </w:tblPr>
                  <w:tblGrid>
                    <w:gridCol w:w="230"/>
                    <w:gridCol w:w="4779"/>
                  </w:tblGrid>
                  <w:tr w:rsidR="003C045B" w:rsidRPr="00EE294E" w14:paraId="7C929EB1" w14:textId="77777777">
                    <w:tc>
                      <w:tcPr>
                        <w:tcW w:w="402" w:type="dxa"/>
                        <w:hideMark/>
                      </w:tcPr>
                      <w:p w14:paraId="79D265EC" w14:textId="77777777" w:rsidR="003C045B" w:rsidRPr="00EE294E" w:rsidRDefault="003C045B" w:rsidP="003C045B">
                        <w:pPr>
                          <w:spacing w:before="120" w:after="0" w:line="240" w:lineRule="auto"/>
                          <w:jc w:val="both"/>
                          <w:rPr>
                            <w:rFonts w:ascii="Times New Roman" w:eastAsia="Times New Roman" w:hAnsi="Times New Roman" w:cs="Times New Roman"/>
                            <w:kern w:val="0"/>
                            <w:sz w:val="20"/>
                            <w:szCs w:val="20"/>
                            <w14:ligatures w14:val="none"/>
                          </w:rPr>
                        </w:pPr>
                        <w:r w:rsidRPr="00EE294E">
                          <w:rPr>
                            <w:rFonts w:ascii="Times New Roman" w:eastAsia="Times New Roman" w:hAnsi="Times New Roman" w:cs="Times New Roman"/>
                            <w:kern w:val="0"/>
                            <w:sz w:val="20"/>
                            <w:szCs w:val="20"/>
                            <w14:ligatures w14:val="none"/>
                          </w:rPr>
                          <w:t>(b)</w:t>
                        </w:r>
                      </w:p>
                    </w:tc>
                    <w:tc>
                      <w:tcPr>
                        <w:tcW w:w="8657" w:type="dxa"/>
                        <w:hideMark/>
                      </w:tcPr>
                      <w:p w14:paraId="179CFC95" w14:textId="77777777" w:rsidR="003C045B" w:rsidRPr="00EE294E" w:rsidRDefault="003C045B" w:rsidP="003C045B">
                        <w:pPr>
                          <w:spacing w:before="120" w:after="0" w:line="240" w:lineRule="auto"/>
                          <w:jc w:val="both"/>
                          <w:rPr>
                            <w:rFonts w:ascii="Times New Roman" w:eastAsia="Times New Roman" w:hAnsi="Times New Roman" w:cs="Times New Roman"/>
                            <w:kern w:val="0"/>
                            <w:sz w:val="20"/>
                            <w:szCs w:val="20"/>
                            <w14:ligatures w14:val="none"/>
                          </w:rPr>
                        </w:pPr>
                        <w:r w:rsidRPr="00EE294E">
                          <w:rPr>
                            <w:rFonts w:ascii="Times New Roman" w:eastAsia="Times New Roman" w:hAnsi="Times New Roman" w:cs="Times New Roman"/>
                            <w:kern w:val="0"/>
                            <w:sz w:val="20"/>
                            <w:szCs w:val="20"/>
                            <w14:ligatures w14:val="none"/>
                          </w:rPr>
                          <w:t>menaxhon teknikisht CESOP-in në përputhje me nenin 2 të kësaj Rregulloreje;</w:t>
                        </w:r>
                      </w:p>
                    </w:tc>
                  </w:tr>
                </w:tbl>
                <w:p w14:paraId="1FDEDFD8" w14:textId="77777777" w:rsidR="003C045B" w:rsidRPr="00EE294E" w:rsidRDefault="003C045B" w:rsidP="003C045B">
                  <w:pPr>
                    <w:spacing w:after="0" w:line="240" w:lineRule="auto"/>
                    <w:rPr>
                      <w:rFonts w:ascii="Times New Roman" w:eastAsia="Times New Roman" w:hAnsi="Times New Roman" w:cs="Times New Roman"/>
                      <w:vanish/>
                      <w:kern w:val="0"/>
                      <w:sz w:val="20"/>
                      <w:szCs w:val="20"/>
                      <w14:ligatures w14:val="none"/>
                    </w:rPr>
                  </w:pPr>
                </w:p>
                <w:tbl>
                  <w:tblPr>
                    <w:tblW w:w="5000" w:type="pct"/>
                    <w:tblLayout w:type="fixed"/>
                    <w:tblCellMar>
                      <w:left w:w="0" w:type="dxa"/>
                      <w:right w:w="0" w:type="dxa"/>
                    </w:tblCellMar>
                    <w:tblLook w:val="04A0" w:firstRow="1" w:lastRow="0" w:firstColumn="1" w:lastColumn="0" w:noHBand="0" w:noVBand="1"/>
                  </w:tblPr>
                  <w:tblGrid>
                    <w:gridCol w:w="169"/>
                    <w:gridCol w:w="4840"/>
                  </w:tblGrid>
                  <w:tr w:rsidR="003C045B" w:rsidRPr="00EE294E" w14:paraId="47CB83A2" w14:textId="77777777">
                    <w:tc>
                      <w:tcPr>
                        <w:tcW w:w="290" w:type="dxa"/>
                        <w:hideMark/>
                      </w:tcPr>
                      <w:p w14:paraId="443E188B" w14:textId="77777777" w:rsidR="003C045B" w:rsidRPr="00EE294E" w:rsidRDefault="003C045B" w:rsidP="003C045B">
                        <w:pPr>
                          <w:spacing w:before="120" w:after="0" w:line="240" w:lineRule="auto"/>
                          <w:jc w:val="both"/>
                          <w:rPr>
                            <w:rFonts w:ascii="Times New Roman" w:eastAsia="Times New Roman" w:hAnsi="Times New Roman" w:cs="Times New Roman"/>
                            <w:kern w:val="0"/>
                            <w:sz w:val="20"/>
                            <w:szCs w:val="20"/>
                            <w14:ligatures w14:val="none"/>
                          </w:rPr>
                        </w:pPr>
                        <w:r w:rsidRPr="00EE294E">
                          <w:rPr>
                            <w:rFonts w:ascii="Times New Roman" w:eastAsia="Times New Roman" w:hAnsi="Times New Roman" w:cs="Times New Roman"/>
                            <w:kern w:val="0"/>
                            <w:sz w:val="20"/>
                            <w:szCs w:val="20"/>
                            <w14:ligatures w14:val="none"/>
                          </w:rPr>
                          <w:t>(c)</w:t>
                        </w:r>
                      </w:p>
                    </w:tc>
                    <w:tc>
                      <w:tcPr>
                        <w:tcW w:w="8769" w:type="dxa"/>
                        <w:hideMark/>
                      </w:tcPr>
                      <w:p w14:paraId="1D405361" w14:textId="77777777" w:rsidR="003C045B" w:rsidRPr="00EE294E" w:rsidRDefault="003C045B" w:rsidP="003C045B">
                        <w:pPr>
                          <w:spacing w:before="120" w:after="0" w:line="240" w:lineRule="auto"/>
                          <w:jc w:val="both"/>
                          <w:rPr>
                            <w:rFonts w:ascii="Times New Roman" w:eastAsia="Times New Roman" w:hAnsi="Times New Roman" w:cs="Times New Roman"/>
                            <w:kern w:val="0"/>
                            <w:sz w:val="20"/>
                            <w:szCs w:val="20"/>
                            <w14:ligatures w14:val="none"/>
                          </w:rPr>
                        </w:pPr>
                        <w:r w:rsidRPr="00EE294E">
                          <w:rPr>
                            <w:rFonts w:ascii="Times New Roman" w:eastAsia="Times New Roman" w:hAnsi="Times New Roman" w:cs="Times New Roman"/>
                            <w:kern w:val="0"/>
                            <w:sz w:val="20"/>
                            <w:szCs w:val="20"/>
                            <w14:ligatures w14:val="none"/>
                          </w:rPr>
                          <w:t>sigurojnë ndërveprimin e sistemeve elektronike kombëtare të përmendura në nenin 24b të Rregullores (BE) nr. 904/2010 dhe CESOP në përputhje me nenin 3(3) të kësaj Rregulloreje;</w:t>
                        </w:r>
                      </w:p>
                    </w:tc>
                  </w:tr>
                </w:tbl>
                <w:p w14:paraId="6585BE0F" w14:textId="77777777" w:rsidR="003C045B" w:rsidRPr="00EE294E" w:rsidRDefault="003C045B" w:rsidP="003C045B">
                  <w:pPr>
                    <w:spacing w:after="0" w:line="240" w:lineRule="auto"/>
                    <w:rPr>
                      <w:rFonts w:ascii="Times New Roman" w:eastAsia="Times New Roman" w:hAnsi="Times New Roman" w:cs="Times New Roman"/>
                      <w:vanish/>
                      <w:kern w:val="0"/>
                      <w:sz w:val="20"/>
                      <w:szCs w:val="20"/>
                      <w14:ligatures w14:val="none"/>
                    </w:rPr>
                  </w:pPr>
                </w:p>
                <w:tbl>
                  <w:tblPr>
                    <w:tblW w:w="5000" w:type="pct"/>
                    <w:tblLayout w:type="fixed"/>
                    <w:tblCellMar>
                      <w:left w:w="0" w:type="dxa"/>
                      <w:right w:w="0" w:type="dxa"/>
                    </w:tblCellMar>
                    <w:tblLook w:val="04A0" w:firstRow="1" w:lastRow="0" w:firstColumn="1" w:lastColumn="0" w:noHBand="0" w:noVBand="1"/>
                  </w:tblPr>
                  <w:tblGrid>
                    <w:gridCol w:w="184"/>
                    <w:gridCol w:w="4825"/>
                  </w:tblGrid>
                  <w:tr w:rsidR="003C045B" w:rsidRPr="00EE294E" w14:paraId="1485BB4C" w14:textId="77777777">
                    <w:tc>
                      <w:tcPr>
                        <w:tcW w:w="317" w:type="dxa"/>
                        <w:hideMark/>
                      </w:tcPr>
                      <w:p w14:paraId="56D927FB" w14:textId="77777777" w:rsidR="003C045B" w:rsidRPr="00EE294E" w:rsidRDefault="003C045B" w:rsidP="003C045B">
                        <w:pPr>
                          <w:spacing w:before="120" w:after="0" w:line="240" w:lineRule="auto"/>
                          <w:jc w:val="both"/>
                          <w:rPr>
                            <w:rFonts w:ascii="Times New Roman" w:eastAsia="Times New Roman" w:hAnsi="Times New Roman" w:cs="Times New Roman"/>
                            <w:kern w:val="0"/>
                            <w:sz w:val="20"/>
                            <w:szCs w:val="20"/>
                            <w14:ligatures w14:val="none"/>
                          </w:rPr>
                        </w:pPr>
                        <w:r w:rsidRPr="00EE294E">
                          <w:rPr>
                            <w:rFonts w:ascii="Times New Roman" w:eastAsia="Times New Roman" w:hAnsi="Times New Roman" w:cs="Times New Roman"/>
                            <w:kern w:val="0"/>
                            <w:sz w:val="20"/>
                            <w:szCs w:val="20"/>
                            <w14:ligatures w14:val="none"/>
                          </w:rPr>
                          <w:lastRenderedPageBreak/>
                          <w:t>(d)</w:t>
                        </w:r>
                      </w:p>
                    </w:tc>
                    <w:tc>
                      <w:tcPr>
                        <w:tcW w:w="8742" w:type="dxa"/>
                        <w:hideMark/>
                      </w:tcPr>
                      <w:p w14:paraId="63DF9C8D" w14:textId="77777777" w:rsidR="003C045B" w:rsidRPr="00EE294E" w:rsidRDefault="003C045B" w:rsidP="003C045B">
                        <w:pPr>
                          <w:spacing w:before="120" w:after="0" w:line="240" w:lineRule="auto"/>
                          <w:jc w:val="both"/>
                          <w:rPr>
                            <w:rFonts w:ascii="Times New Roman" w:eastAsia="Times New Roman" w:hAnsi="Times New Roman" w:cs="Times New Roman"/>
                            <w:kern w:val="0"/>
                            <w:sz w:val="20"/>
                            <w:szCs w:val="20"/>
                            <w14:ligatures w14:val="none"/>
                          </w:rPr>
                        </w:pPr>
                        <w:r w:rsidRPr="00EE294E">
                          <w:rPr>
                            <w:rFonts w:ascii="Times New Roman" w:eastAsia="Times New Roman" w:hAnsi="Times New Roman" w:cs="Times New Roman"/>
                            <w:kern w:val="0"/>
                            <w:sz w:val="20"/>
                            <w:szCs w:val="20"/>
                            <w14:ligatures w14:val="none"/>
                          </w:rPr>
                          <w:t>të marrë masat e sigurisë në përputhje me nenin 6(2), nënparagrafin e parë, të kësaj Rregulloreje;</w:t>
                        </w:r>
                      </w:p>
                    </w:tc>
                  </w:tr>
                </w:tbl>
                <w:p w14:paraId="696EFF90" w14:textId="77777777" w:rsidR="003C045B" w:rsidRPr="00EE294E" w:rsidRDefault="003C045B" w:rsidP="003C045B">
                  <w:pPr>
                    <w:spacing w:after="0" w:line="240" w:lineRule="auto"/>
                    <w:rPr>
                      <w:rFonts w:ascii="Times New Roman" w:eastAsia="Times New Roman" w:hAnsi="Times New Roman" w:cs="Times New Roman"/>
                      <w:kern w:val="0"/>
                      <w:sz w:val="20"/>
                      <w:szCs w:val="20"/>
                      <w14:ligatures w14:val="none"/>
                    </w:rPr>
                  </w:pPr>
                </w:p>
              </w:tc>
            </w:tr>
          </w:tbl>
          <w:p w14:paraId="13FA95AA" w14:textId="77777777" w:rsidR="003C045B" w:rsidRPr="00EE294E" w:rsidRDefault="003C045B" w:rsidP="003C045B">
            <w:pPr>
              <w:shd w:val="clear" w:color="auto" w:fill="FFFFFF"/>
              <w:rPr>
                <w:rFonts w:ascii="Times New Roman" w:eastAsia="Times New Roman" w:hAnsi="Times New Roman" w:cs="Times New Roman"/>
                <w:vanish/>
                <w:color w:val="000000"/>
                <w:sz w:val="20"/>
                <w:szCs w:val="20"/>
              </w:rPr>
            </w:pPr>
          </w:p>
          <w:tbl>
            <w:tblPr>
              <w:tblW w:w="5000" w:type="pct"/>
              <w:tblLayout w:type="fixed"/>
              <w:tblCellMar>
                <w:left w:w="0" w:type="dxa"/>
                <w:right w:w="0" w:type="dxa"/>
              </w:tblCellMar>
              <w:tblLook w:val="04A0" w:firstRow="1" w:lastRow="0" w:firstColumn="1" w:lastColumn="0" w:noHBand="0" w:noVBand="1"/>
            </w:tblPr>
            <w:tblGrid>
              <w:gridCol w:w="183"/>
              <w:gridCol w:w="5001"/>
            </w:tblGrid>
            <w:tr w:rsidR="003C045B" w:rsidRPr="00EE294E" w14:paraId="1FD00284" w14:textId="77777777" w:rsidTr="0071079D">
              <w:tc>
                <w:tcPr>
                  <w:tcW w:w="315" w:type="dxa"/>
                  <w:hideMark/>
                </w:tcPr>
                <w:p w14:paraId="0F4C4864" w14:textId="77777777" w:rsidR="003C045B" w:rsidRPr="00EE294E" w:rsidRDefault="003C045B" w:rsidP="003C045B">
                  <w:pPr>
                    <w:spacing w:before="120" w:after="0" w:line="240" w:lineRule="auto"/>
                    <w:jc w:val="both"/>
                    <w:rPr>
                      <w:rFonts w:ascii="Times New Roman" w:eastAsia="Times New Roman" w:hAnsi="Times New Roman" w:cs="Times New Roman"/>
                      <w:kern w:val="0"/>
                      <w:sz w:val="20"/>
                      <w:szCs w:val="20"/>
                      <w14:ligatures w14:val="none"/>
                    </w:rPr>
                  </w:pPr>
                  <w:r w:rsidRPr="00EE294E">
                    <w:rPr>
                      <w:rFonts w:ascii="Times New Roman" w:eastAsia="Times New Roman" w:hAnsi="Times New Roman" w:cs="Times New Roman"/>
                      <w:kern w:val="0"/>
                      <w:sz w:val="20"/>
                      <w:szCs w:val="20"/>
                      <w14:ligatures w14:val="none"/>
                    </w:rPr>
                    <w:t>(b)</w:t>
                  </w:r>
                </w:p>
              </w:tc>
              <w:tc>
                <w:tcPr>
                  <w:tcW w:w="9045" w:type="dxa"/>
                  <w:hideMark/>
                </w:tcPr>
                <w:p w14:paraId="7C81EF8E" w14:textId="77777777" w:rsidR="003C045B" w:rsidRPr="00EE294E" w:rsidRDefault="003C045B" w:rsidP="003C045B">
                  <w:pPr>
                    <w:spacing w:before="120" w:after="0" w:line="240" w:lineRule="auto"/>
                    <w:jc w:val="both"/>
                    <w:rPr>
                      <w:rFonts w:ascii="Times New Roman" w:eastAsia="Times New Roman" w:hAnsi="Times New Roman" w:cs="Times New Roman"/>
                      <w:kern w:val="0"/>
                      <w:sz w:val="20"/>
                      <w:szCs w:val="20"/>
                      <w14:ligatures w14:val="none"/>
                    </w:rPr>
                  </w:pPr>
                  <w:r w:rsidRPr="00EE294E">
                    <w:rPr>
                      <w:rFonts w:ascii="Times New Roman" w:eastAsia="Times New Roman" w:hAnsi="Times New Roman" w:cs="Times New Roman"/>
                      <w:kern w:val="0"/>
                      <w:sz w:val="20"/>
                      <w:szCs w:val="20"/>
                      <w14:ligatures w14:val="none"/>
                    </w:rPr>
                    <w:t>përcaktimin e rregullave dhe procedurave për përzgjedhjen e zyrtarëve ndërlidhës të Eurofisc që do të kenë akses në CESOP;</w:t>
                  </w:r>
                </w:p>
              </w:tc>
            </w:tr>
          </w:tbl>
          <w:p w14:paraId="09FD3309" w14:textId="77777777" w:rsidR="003C045B" w:rsidRPr="00EE294E" w:rsidRDefault="003C045B" w:rsidP="003C045B">
            <w:pPr>
              <w:shd w:val="clear" w:color="auto" w:fill="FFFFFF"/>
              <w:rPr>
                <w:rFonts w:ascii="Times New Roman" w:eastAsia="Times New Roman" w:hAnsi="Times New Roman" w:cs="Times New Roman"/>
                <w:vanish/>
                <w:color w:val="000000"/>
                <w:sz w:val="20"/>
                <w:szCs w:val="20"/>
              </w:rPr>
            </w:pPr>
          </w:p>
          <w:tbl>
            <w:tblPr>
              <w:tblW w:w="5000" w:type="pct"/>
              <w:tblLayout w:type="fixed"/>
              <w:tblCellMar>
                <w:left w:w="0" w:type="dxa"/>
                <w:right w:w="0" w:type="dxa"/>
              </w:tblCellMar>
              <w:tblLook w:val="04A0" w:firstRow="1" w:lastRow="0" w:firstColumn="1" w:lastColumn="0" w:noHBand="0" w:noVBand="1"/>
            </w:tblPr>
            <w:tblGrid>
              <w:gridCol w:w="169"/>
              <w:gridCol w:w="5015"/>
            </w:tblGrid>
            <w:tr w:rsidR="003C045B" w:rsidRPr="00EE294E" w14:paraId="21FD3043" w14:textId="77777777" w:rsidTr="0071079D">
              <w:tc>
                <w:tcPr>
                  <w:tcW w:w="290" w:type="dxa"/>
                  <w:hideMark/>
                </w:tcPr>
                <w:p w14:paraId="519B92C5" w14:textId="77777777" w:rsidR="003C045B" w:rsidRPr="00EE294E" w:rsidRDefault="003C045B" w:rsidP="003C045B">
                  <w:pPr>
                    <w:spacing w:before="120" w:after="0" w:line="240" w:lineRule="auto"/>
                    <w:jc w:val="both"/>
                    <w:rPr>
                      <w:rFonts w:ascii="Times New Roman" w:eastAsia="Times New Roman" w:hAnsi="Times New Roman" w:cs="Times New Roman"/>
                      <w:kern w:val="0"/>
                      <w:sz w:val="20"/>
                      <w:szCs w:val="20"/>
                      <w14:ligatures w14:val="none"/>
                    </w:rPr>
                  </w:pPr>
                  <w:r w:rsidRPr="00EE294E">
                    <w:rPr>
                      <w:rFonts w:ascii="Times New Roman" w:eastAsia="Times New Roman" w:hAnsi="Times New Roman" w:cs="Times New Roman"/>
                      <w:kern w:val="0"/>
                      <w:sz w:val="20"/>
                      <w:szCs w:val="20"/>
                      <w14:ligatures w14:val="none"/>
                    </w:rPr>
                    <w:t>(c)</w:t>
                  </w:r>
                </w:p>
              </w:tc>
              <w:tc>
                <w:tcPr>
                  <w:tcW w:w="9070" w:type="dxa"/>
                  <w:hideMark/>
                </w:tcPr>
                <w:p w14:paraId="585A79BD" w14:textId="77777777" w:rsidR="003C045B" w:rsidRPr="00EE294E" w:rsidRDefault="003C045B" w:rsidP="003C045B">
                  <w:pPr>
                    <w:spacing w:before="120" w:after="0" w:line="240" w:lineRule="auto"/>
                    <w:jc w:val="both"/>
                    <w:rPr>
                      <w:rFonts w:ascii="Times New Roman" w:eastAsia="Times New Roman" w:hAnsi="Times New Roman" w:cs="Times New Roman"/>
                      <w:kern w:val="0"/>
                      <w:sz w:val="20"/>
                      <w:szCs w:val="20"/>
                      <w14:ligatures w14:val="none"/>
                    </w:rPr>
                  </w:pPr>
                  <w:r w:rsidRPr="00EE294E">
                    <w:rPr>
                      <w:rFonts w:ascii="Times New Roman" w:eastAsia="Times New Roman" w:hAnsi="Times New Roman" w:cs="Times New Roman"/>
                      <w:kern w:val="0"/>
                      <w:sz w:val="20"/>
                      <w:szCs w:val="20"/>
                      <w14:ligatures w14:val="none"/>
                    </w:rPr>
                    <w:t>duke iu përgjigjur kërkesave nga subjektet e të dhënave në lidhje me ushtrimin e të drejtave të përcaktuara në Kapitullin III të Rregullores (BE) 2016/679.</w:t>
                  </w:r>
                </w:p>
              </w:tc>
            </w:tr>
          </w:tbl>
          <w:p w14:paraId="093143B3" w14:textId="77777777" w:rsidR="003C045B" w:rsidRPr="00EE294E" w:rsidRDefault="003C045B" w:rsidP="003C045B">
            <w:pPr>
              <w:shd w:val="clear" w:color="auto" w:fill="FFFFFF"/>
              <w:spacing w:before="120"/>
              <w:jc w:val="both"/>
              <w:rPr>
                <w:rFonts w:ascii="Times New Roman" w:eastAsia="Times New Roman" w:hAnsi="Times New Roman" w:cs="Times New Roman"/>
                <w:color w:val="000000"/>
                <w:sz w:val="20"/>
                <w:szCs w:val="20"/>
              </w:rPr>
            </w:pPr>
            <w:r w:rsidRPr="00EE294E">
              <w:rPr>
                <w:rFonts w:ascii="Times New Roman" w:eastAsia="Times New Roman" w:hAnsi="Times New Roman" w:cs="Times New Roman"/>
                <w:color w:val="000000"/>
                <w:sz w:val="20"/>
                <w:szCs w:val="20"/>
              </w:rPr>
              <w:t>2. Komisioni është përpunues, siç përcaktohet në nenin 3, pika (12), të Rregullores (BE) 2018/1725, të CESOP.</w:t>
            </w:r>
          </w:p>
          <w:p w14:paraId="41FED6D6" w14:textId="77777777" w:rsidR="003C045B" w:rsidRPr="00EE294E" w:rsidRDefault="003C045B" w:rsidP="003C045B">
            <w:pPr>
              <w:shd w:val="clear" w:color="auto" w:fill="FFFFFF"/>
              <w:spacing w:before="120"/>
              <w:jc w:val="both"/>
              <w:rPr>
                <w:rFonts w:ascii="Times New Roman" w:eastAsia="Times New Roman" w:hAnsi="Times New Roman" w:cs="Times New Roman"/>
                <w:color w:val="000000"/>
                <w:sz w:val="20"/>
                <w:szCs w:val="20"/>
              </w:rPr>
            </w:pPr>
            <w:r w:rsidRPr="00EE294E">
              <w:rPr>
                <w:rFonts w:ascii="Times New Roman" w:eastAsia="Times New Roman" w:hAnsi="Times New Roman" w:cs="Times New Roman"/>
                <w:color w:val="000000"/>
                <w:sz w:val="20"/>
                <w:szCs w:val="20"/>
              </w:rPr>
              <w:t>Komisioni do të:</w:t>
            </w:r>
          </w:p>
          <w:tbl>
            <w:tblPr>
              <w:tblW w:w="5000" w:type="pct"/>
              <w:tblLayout w:type="fixed"/>
              <w:tblCellMar>
                <w:left w:w="0" w:type="dxa"/>
                <w:right w:w="0" w:type="dxa"/>
              </w:tblCellMar>
              <w:tblLook w:val="04A0" w:firstRow="1" w:lastRow="0" w:firstColumn="1" w:lastColumn="0" w:noHBand="0" w:noVBand="1"/>
            </w:tblPr>
            <w:tblGrid>
              <w:gridCol w:w="175"/>
              <w:gridCol w:w="5009"/>
            </w:tblGrid>
            <w:tr w:rsidR="003C045B" w:rsidRPr="00EE294E" w14:paraId="34FF7513" w14:textId="77777777" w:rsidTr="0071079D">
              <w:tc>
                <w:tcPr>
                  <w:tcW w:w="301" w:type="dxa"/>
                  <w:hideMark/>
                </w:tcPr>
                <w:p w14:paraId="68849B0B" w14:textId="77777777" w:rsidR="003C045B" w:rsidRPr="00EE294E" w:rsidRDefault="003C045B" w:rsidP="003C045B">
                  <w:pPr>
                    <w:spacing w:before="120" w:after="0" w:line="240" w:lineRule="auto"/>
                    <w:jc w:val="both"/>
                    <w:rPr>
                      <w:rFonts w:ascii="Times New Roman" w:eastAsia="Times New Roman" w:hAnsi="Times New Roman" w:cs="Times New Roman"/>
                      <w:kern w:val="0"/>
                      <w:sz w:val="20"/>
                      <w:szCs w:val="20"/>
                      <w14:ligatures w14:val="none"/>
                    </w:rPr>
                  </w:pPr>
                  <w:r w:rsidRPr="00EE294E">
                    <w:rPr>
                      <w:rFonts w:ascii="Times New Roman" w:eastAsia="Times New Roman" w:hAnsi="Times New Roman" w:cs="Times New Roman"/>
                      <w:kern w:val="0"/>
                      <w:sz w:val="20"/>
                      <w:szCs w:val="20"/>
                      <w14:ligatures w14:val="none"/>
                    </w:rPr>
                    <w:t>(a)</w:t>
                  </w:r>
                </w:p>
              </w:tc>
              <w:tc>
                <w:tcPr>
                  <w:tcW w:w="9059" w:type="dxa"/>
                  <w:hideMark/>
                </w:tcPr>
                <w:p w14:paraId="423CE3E4" w14:textId="77777777" w:rsidR="003C045B" w:rsidRPr="00EE294E" w:rsidRDefault="003C045B" w:rsidP="003C045B">
                  <w:pPr>
                    <w:spacing w:before="120" w:after="0" w:line="240" w:lineRule="auto"/>
                    <w:jc w:val="both"/>
                    <w:rPr>
                      <w:rFonts w:ascii="Times New Roman" w:eastAsia="Times New Roman" w:hAnsi="Times New Roman" w:cs="Times New Roman"/>
                      <w:kern w:val="0"/>
                      <w:sz w:val="20"/>
                      <w:szCs w:val="20"/>
                      <w14:ligatures w14:val="none"/>
                    </w:rPr>
                  </w:pPr>
                  <w:r w:rsidRPr="00EE294E">
                    <w:rPr>
                      <w:rFonts w:ascii="Times New Roman" w:eastAsia="Times New Roman" w:hAnsi="Times New Roman" w:cs="Times New Roman"/>
                      <w:kern w:val="0"/>
                      <w:sz w:val="20"/>
                      <w:szCs w:val="20"/>
                      <w14:ligatures w14:val="none"/>
                    </w:rPr>
                    <w:t>përpunon të dhënat personale në emër të Shteteve Anëtare sipas udhëzimeve të tyre dhe ruan dokumentacionin për këto udhëzime;</w:t>
                  </w:r>
                </w:p>
              </w:tc>
            </w:tr>
          </w:tbl>
          <w:p w14:paraId="473B2C2C" w14:textId="77777777" w:rsidR="003C045B" w:rsidRPr="00EE294E" w:rsidRDefault="003C045B" w:rsidP="003C045B">
            <w:pPr>
              <w:shd w:val="clear" w:color="auto" w:fill="FFFFFF"/>
              <w:rPr>
                <w:rFonts w:ascii="Times New Roman" w:eastAsia="Times New Roman" w:hAnsi="Times New Roman" w:cs="Times New Roman"/>
                <w:vanish/>
                <w:color w:val="000000"/>
                <w:sz w:val="20"/>
                <w:szCs w:val="20"/>
              </w:rPr>
            </w:pPr>
          </w:p>
          <w:tbl>
            <w:tblPr>
              <w:tblW w:w="5000" w:type="pct"/>
              <w:tblLayout w:type="fixed"/>
              <w:tblCellMar>
                <w:left w:w="0" w:type="dxa"/>
                <w:right w:w="0" w:type="dxa"/>
              </w:tblCellMar>
              <w:tblLook w:val="04A0" w:firstRow="1" w:lastRow="0" w:firstColumn="1" w:lastColumn="0" w:noHBand="0" w:noVBand="1"/>
            </w:tblPr>
            <w:tblGrid>
              <w:gridCol w:w="196"/>
              <w:gridCol w:w="4988"/>
            </w:tblGrid>
            <w:tr w:rsidR="003C045B" w:rsidRPr="00EE294E" w14:paraId="3B4009D5" w14:textId="77777777" w:rsidTr="0071079D">
              <w:tc>
                <w:tcPr>
                  <w:tcW w:w="339" w:type="dxa"/>
                  <w:hideMark/>
                </w:tcPr>
                <w:p w14:paraId="441A7EC2" w14:textId="77777777" w:rsidR="003C045B" w:rsidRPr="00EE294E" w:rsidRDefault="003C045B" w:rsidP="003C045B">
                  <w:pPr>
                    <w:spacing w:before="120" w:after="0" w:line="240" w:lineRule="auto"/>
                    <w:jc w:val="both"/>
                    <w:rPr>
                      <w:rFonts w:ascii="Times New Roman" w:eastAsia="Times New Roman" w:hAnsi="Times New Roman" w:cs="Times New Roman"/>
                      <w:kern w:val="0"/>
                      <w:sz w:val="20"/>
                      <w:szCs w:val="20"/>
                      <w14:ligatures w14:val="none"/>
                    </w:rPr>
                  </w:pPr>
                  <w:r w:rsidRPr="00EE294E">
                    <w:rPr>
                      <w:rFonts w:ascii="Times New Roman" w:eastAsia="Times New Roman" w:hAnsi="Times New Roman" w:cs="Times New Roman"/>
                      <w:kern w:val="0"/>
                      <w:sz w:val="20"/>
                      <w:szCs w:val="20"/>
                      <w14:ligatures w14:val="none"/>
                    </w:rPr>
                    <w:t>(b)</w:t>
                  </w:r>
                </w:p>
              </w:tc>
              <w:tc>
                <w:tcPr>
                  <w:tcW w:w="9021" w:type="dxa"/>
                  <w:hideMark/>
                </w:tcPr>
                <w:p w14:paraId="477DAC19" w14:textId="77777777" w:rsidR="003C045B" w:rsidRPr="00EE294E" w:rsidRDefault="003C045B" w:rsidP="003C045B">
                  <w:pPr>
                    <w:spacing w:before="120" w:after="0" w:line="240" w:lineRule="auto"/>
                    <w:jc w:val="both"/>
                    <w:rPr>
                      <w:rFonts w:ascii="Times New Roman" w:eastAsia="Times New Roman" w:hAnsi="Times New Roman" w:cs="Times New Roman"/>
                      <w:kern w:val="0"/>
                      <w:sz w:val="20"/>
                      <w:szCs w:val="20"/>
                      <w14:ligatures w14:val="none"/>
                    </w:rPr>
                  </w:pPr>
                  <w:r w:rsidRPr="00EE294E">
                    <w:rPr>
                      <w:rFonts w:ascii="Times New Roman" w:eastAsia="Times New Roman" w:hAnsi="Times New Roman" w:cs="Times New Roman"/>
                      <w:kern w:val="0"/>
                      <w:sz w:val="20"/>
                      <w:szCs w:val="20"/>
                      <w14:ligatures w14:val="none"/>
                    </w:rPr>
                    <w:t>të sigurojë konfidencialitetin e të dhënave personale kur përpunohen sipas kësaj Rregulloreje;</w:t>
                  </w:r>
                </w:p>
              </w:tc>
            </w:tr>
          </w:tbl>
          <w:p w14:paraId="22C6068C" w14:textId="77777777" w:rsidR="003C045B" w:rsidRPr="00EE294E" w:rsidRDefault="003C045B" w:rsidP="003C045B">
            <w:pPr>
              <w:shd w:val="clear" w:color="auto" w:fill="FFFFFF"/>
              <w:rPr>
                <w:rFonts w:ascii="Times New Roman" w:eastAsia="Times New Roman" w:hAnsi="Times New Roman" w:cs="Times New Roman"/>
                <w:vanish/>
                <w:color w:val="000000"/>
                <w:sz w:val="20"/>
                <w:szCs w:val="20"/>
              </w:rPr>
            </w:pPr>
          </w:p>
          <w:tbl>
            <w:tblPr>
              <w:tblW w:w="5000" w:type="pct"/>
              <w:tblLayout w:type="fixed"/>
              <w:tblCellMar>
                <w:left w:w="0" w:type="dxa"/>
                <w:right w:w="0" w:type="dxa"/>
              </w:tblCellMar>
              <w:tblLook w:val="04A0" w:firstRow="1" w:lastRow="0" w:firstColumn="1" w:lastColumn="0" w:noHBand="0" w:noVBand="1"/>
            </w:tblPr>
            <w:tblGrid>
              <w:gridCol w:w="169"/>
              <w:gridCol w:w="5015"/>
            </w:tblGrid>
            <w:tr w:rsidR="003C045B" w:rsidRPr="00EE294E" w14:paraId="2693D4C3" w14:textId="77777777" w:rsidTr="0071079D">
              <w:tc>
                <w:tcPr>
                  <w:tcW w:w="290" w:type="dxa"/>
                  <w:hideMark/>
                </w:tcPr>
                <w:p w14:paraId="21F5FE5B" w14:textId="77777777" w:rsidR="003C045B" w:rsidRPr="00EE294E" w:rsidRDefault="003C045B" w:rsidP="003C045B">
                  <w:pPr>
                    <w:spacing w:before="120" w:after="0" w:line="240" w:lineRule="auto"/>
                    <w:jc w:val="both"/>
                    <w:rPr>
                      <w:rFonts w:ascii="Times New Roman" w:eastAsia="Times New Roman" w:hAnsi="Times New Roman" w:cs="Times New Roman"/>
                      <w:kern w:val="0"/>
                      <w:sz w:val="20"/>
                      <w:szCs w:val="20"/>
                      <w14:ligatures w14:val="none"/>
                    </w:rPr>
                  </w:pPr>
                  <w:r w:rsidRPr="00EE294E">
                    <w:rPr>
                      <w:rFonts w:ascii="Times New Roman" w:eastAsia="Times New Roman" w:hAnsi="Times New Roman" w:cs="Times New Roman"/>
                      <w:kern w:val="0"/>
                      <w:sz w:val="20"/>
                      <w:szCs w:val="20"/>
                      <w14:ligatures w14:val="none"/>
                    </w:rPr>
                    <w:t>(c)</w:t>
                  </w:r>
                </w:p>
              </w:tc>
              <w:tc>
                <w:tcPr>
                  <w:tcW w:w="9070" w:type="dxa"/>
                  <w:hideMark/>
                </w:tcPr>
                <w:p w14:paraId="752BA632" w14:textId="77777777" w:rsidR="003C045B" w:rsidRPr="00EE294E" w:rsidRDefault="003C045B" w:rsidP="003C045B">
                  <w:pPr>
                    <w:spacing w:before="120" w:after="0" w:line="240" w:lineRule="auto"/>
                    <w:jc w:val="both"/>
                    <w:rPr>
                      <w:rFonts w:ascii="Times New Roman" w:eastAsia="Times New Roman" w:hAnsi="Times New Roman" w:cs="Times New Roman"/>
                      <w:kern w:val="0"/>
                      <w:sz w:val="20"/>
                      <w:szCs w:val="20"/>
                      <w14:ligatures w14:val="none"/>
                    </w:rPr>
                  </w:pPr>
                  <w:r w:rsidRPr="00EE294E">
                    <w:rPr>
                      <w:rFonts w:ascii="Times New Roman" w:eastAsia="Times New Roman" w:hAnsi="Times New Roman" w:cs="Times New Roman"/>
                      <w:kern w:val="0"/>
                      <w:sz w:val="20"/>
                      <w:szCs w:val="20"/>
                      <w14:ligatures w14:val="none"/>
                    </w:rPr>
                    <w:t>të sigurojë infrastrukturën e nevojshme teknike që Shtetet Anëtare t'u përgjigjen kërkesave të përmendura në paragrafin 1, pika (c);</w:t>
                  </w:r>
                </w:p>
              </w:tc>
            </w:tr>
          </w:tbl>
          <w:p w14:paraId="1055F56A" w14:textId="77777777" w:rsidR="003C045B" w:rsidRPr="00EE294E" w:rsidRDefault="003C045B" w:rsidP="003C045B">
            <w:pPr>
              <w:shd w:val="clear" w:color="auto" w:fill="FFFFFF"/>
              <w:rPr>
                <w:rFonts w:ascii="Times New Roman" w:eastAsia="Times New Roman" w:hAnsi="Times New Roman" w:cs="Times New Roman"/>
                <w:vanish/>
                <w:color w:val="000000"/>
                <w:sz w:val="20"/>
                <w:szCs w:val="20"/>
              </w:rPr>
            </w:pPr>
          </w:p>
          <w:tbl>
            <w:tblPr>
              <w:tblW w:w="5000" w:type="pct"/>
              <w:tblLayout w:type="fixed"/>
              <w:tblCellMar>
                <w:left w:w="0" w:type="dxa"/>
                <w:right w:w="0" w:type="dxa"/>
              </w:tblCellMar>
              <w:tblLook w:val="04A0" w:firstRow="1" w:lastRow="0" w:firstColumn="1" w:lastColumn="0" w:noHBand="0" w:noVBand="1"/>
            </w:tblPr>
            <w:tblGrid>
              <w:gridCol w:w="184"/>
              <w:gridCol w:w="5000"/>
            </w:tblGrid>
            <w:tr w:rsidR="003C045B" w:rsidRPr="00EE294E" w14:paraId="0AA282F9" w14:textId="77777777" w:rsidTr="0071079D">
              <w:tc>
                <w:tcPr>
                  <w:tcW w:w="317" w:type="dxa"/>
                  <w:hideMark/>
                </w:tcPr>
                <w:p w14:paraId="4CB49C4E" w14:textId="77777777" w:rsidR="003C045B" w:rsidRPr="00EE294E" w:rsidRDefault="003C045B" w:rsidP="003C045B">
                  <w:pPr>
                    <w:spacing w:before="120" w:after="0" w:line="240" w:lineRule="auto"/>
                    <w:jc w:val="both"/>
                    <w:rPr>
                      <w:rFonts w:ascii="Times New Roman" w:eastAsia="Times New Roman" w:hAnsi="Times New Roman" w:cs="Times New Roman"/>
                      <w:kern w:val="0"/>
                      <w:sz w:val="20"/>
                      <w:szCs w:val="20"/>
                      <w14:ligatures w14:val="none"/>
                    </w:rPr>
                  </w:pPr>
                  <w:r w:rsidRPr="00EE294E">
                    <w:rPr>
                      <w:rFonts w:ascii="Times New Roman" w:eastAsia="Times New Roman" w:hAnsi="Times New Roman" w:cs="Times New Roman"/>
                      <w:kern w:val="0"/>
                      <w:sz w:val="20"/>
                      <w:szCs w:val="20"/>
                      <w14:ligatures w14:val="none"/>
                    </w:rPr>
                    <w:t>(d)</w:t>
                  </w:r>
                </w:p>
              </w:tc>
              <w:tc>
                <w:tcPr>
                  <w:tcW w:w="9043" w:type="dxa"/>
                  <w:hideMark/>
                </w:tcPr>
                <w:p w14:paraId="47DD2A09" w14:textId="77777777" w:rsidR="003C045B" w:rsidRPr="00EE294E" w:rsidRDefault="003C045B" w:rsidP="003C045B">
                  <w:pPr>
                    <w:spacing w:before="120" w:after="0" w:line="240" w:lineRule="auto"/>
                    <w:jc w:val="both"/>
                    <w:rPr>
                      <w:rFonts w:ascii="Times New Roman" w:eastAsia="Times New Roman" w:hAnsi="Times New Roman" w:cs="Times New Roman"/>
                      <w:kern w:val="0"/>
                      <w:sz w:val="20"/>
                      <w:szCs w:val="20"/>
                      <w14:ligatures w14:val="none"/>
                    </w:rPr>
                  </w:pPr>
                  <w:r w:rsidRPr="00EE294E">
                    <w:rPr>
                      <w:rFonts w:ascii="Times New Roman" w:eastAsia="Times New Roman" w:hAnsi="Times New Roman" w:cs="Times New Roman"/>
                      <w:kern w:val="0"/>
                      <w:sz w:val="20"/>
                      <w:szCs w:val="20"/>
                      <w14:ligatures w14:val="none"/>
                    </w:rPr>
                    <w:t>të ndihmojë Shtetet Anëtare të përmbushin detyrimet e përcaktuara në nenet 33 deri në 41 të Rregullores (BE) 2016/679;</w:t>
                  </w:r>
                </w:p>
              </w:tc>
            </w:tr>
          </w:tbl>
          <w:p w14:paraId="17874CEC" w14:textId="77777777" w:rsidR="003C045B" w:rsidRPr="00EE294E" w:rsidRDefault="003C045B" w:rsidP="003C045B">
            <w:pPr>
              <w:shd w:val="clear" w:color="auto" w:fill="FFFFFF"/>
              <w:rPr>
                <w:rFonts w:ascii="Times New Roman" w:eastAsia="Times New Roman" w:hAnsi="Times New Roman" w:cs="Times New Roman"/>
                <w:vanish/>
                <w:color w:val="000000"/>
                <w:sz w:val="20"/>
                <w:szCs w:val="20"/>
              </w:rPr>
            </w:pPr>
          </w:p>
          <w:tbl>
            <w:tblPr>
              <w:tblW w:w="5000" w:type="pct"/>
              <w:tblLayout w:type="fixed"/>
              <w:tblCellMar>
                <w:left w:w="0" w:type="dxa"/>
                <w:right w:w="0" w:type="dxa"/>
              </w:tblCellMar>
              <w:tblLook w:val="04A0" w:firstRow="1" w:lastRow="0" w:firstColumn="1" w:lastColumn="0" w:noHBand="0" w:noVBand="1"/>
            </w:tblPr>
            <w:tblGrid>
              <w:gridCol w:w="175"/>
              <w:gridCol w:w="5009"/>
            </w:tblGrid>
            <w:tr w:rsidR="003C045B" w:rsidRPr="00EE294E" w14:paraId="47CFD1D2" w14:textId="77777777" w:rsidTr="0071079D">
              <w:tc>
                <w:tcPr>
                  <w:tcW w:w="301" w:type="dxa"/>
                  <w:hideMark/>
                </w:tcPr>
                <w:p w14:paraId="3C9EB1A2" w14:textId="77777777" w:rsidR="003C045B" w:rsidRPr="00EE294E" w:rsidRDefault="003C045B" w:rsidP="003C045B">
                  <w:pPr>
                    <w:spacing w:before="120" w:after="0" w:line="240" w:lineRule="auto"/>
                    <w:jc w:val="both"/>
                    <w:rPr>
                      <w:rFonts w:ascii="Times New Roman" w:eastAsia="Times New Roman" w:hAnsi="Times New Roman" w:cs="Times New Roman"/>
                      <w:kern w:val="0"/>
                      <w:sz w:val="20"/>
                      <w:szCs w:val="20"/>
                      <w14:ligatures w14:val="none"/>
                    </w:rPr>
                  </w:pPr>
                  <w:r w:rsidRPr="00EE294E">
                    <w:rPr>
                      <w:rFonts w:ascii="Times New Roman" w:eastAsia="Times New Roman" w:hAnsi="Times New Roman" w:cs="Times New Roman"/>
                      <w:kern w:val="0"/>
                      <w:sz w:val="20"/>
                      <w:szCs w:val="20"/>
                      <w14:ligatures w14:val="none"/>
                    </w:rPr>
                    <w:t>(e)</w:t>
                  </w:r>
                </w:p>
              </w:tc>
              <w:tc>
                <w:tcPr>
                  <w:tcW w:w="9059" w:type="dxa"/>
                  <w:hideMark/>
                </w:tcPr>
                <w:p w14:paraId="2F115AA9" w14:textId="77777777" w:rsidR="003C045B" w:rsidRPr="00EE294E" w:rsidRDefault="003C045B" w:rsidP="003C045B">
                  <w:pPr>
                    <w:spacing w:before="120" w:after="0" w:line="240" w:lineRule="auto"/>
                    <w:jc w:val="both"/>
                    <w:rPr>
                      <w:rFonts w:ascii="Times New Roman" w:eastAsia="Times New Roman" w:hAnsi="Times New Roman" w:cs="Times New Roman"/>
                      <w:kern w:val="0"/>
                      <w:sz w:val="20"/>
                      <w:szCs w:val="20"/>
                      <w14:ligatures w14:val="none"/>
                    </w:rPr>
                  </w:pPr>
                  <w:r w:rsidRPr="00EE294E">
                    <w:rPr>
                      <w:rFonts w:ascii="Times New Roman" w:eastAsia="Times New Roman" w:hAnsi="Times New Roman" w:cs="Times New Roman"/>
                      <w:kern w:val="0"/>
                      <w:sz w:val="20"/>
                      <w:szCs w:val="20"/>
                      <w14:ligatures w14:val="none"/>
                    </w:rPr>
                    <w:t>të sigurojë fshirjen e të gjitha të dhënave personale të ruajtura në CESOP në përputhje me nenin 24c(2) të Rregullores (BE) nr. 904/2010;</w:t>
                  </w:r>
                </w:p>
              </w:tc>
            </w:tr>
          </w:tbl>
          <w:p w14:paraId="0AB1499F" w14:textId="77777777" w:rsidR="003C045B" w:rsidRPr="00EE294E" w:rsidRDefault="003C045B" w:rsidP="003C045B">
            <w:pPr>
              <w:shd w:val="clear" w:color="auto" w:fill="FFFFFF"/>
              <w:rPr>
                <w:rFonts w:ascii="Times New Roman" w:eastAsia="Times New Roman" w:hAnsi="Times New Roman" w:cs="Times New Roman"/>
                <w:vanish/>
                <w:color w:val="000000"/>
                <w:sz w:val="20"/>
                <w:szCs w:val="20"/>
              </w:rPr>
            </w:pPr>
          </w:p>
          <w:tbl>
            <w:tblPr>
              <w:tblW w:w="5000" w:type="pct"/>
              <w:tblLayout w:type="fixed"/>
              <w:tblCellMar>
                <w:left w:w="0" w:type="dxa"/>
                <w:right w:w="0" w:type="dxa"/>
              </w:tblCellMar>
              <w:tblLook w:val="04A0" w:firstRow="1" w:lastRow="0" w:firstColumn="1" w:lastColumn="0" w:noHBand="0" w:noVBand="1"/>
            </w:tblPr>
            <w:tblGrid>
              <w:gridCol w:w="150"/>
              <w:gridCol w:w="5034"/>
            </w:tblGrid>
            <w:tr w:rsidR="003C045B" w:rsidRPr="00EE294E" w14:paraId="66E41BA1" w14:textId="77777777" w:rsidTr="0071079D">
              <w:tc>
                <w:tcPr>
                  <w:tcW w:w="256" w:type="dxa"/>
                  <w:hideMark/>
                </w:tcPr>
                <w:p w14:paraId="4E62148E" w14:textId="77777777" w:rsidR="003C045B" w:rsidRPr="00EE294E" w:rsidRDefault="003C045B" w:rsidP="003C045B">
                  <w:pPr>
                    <w:spacing w:before="120" w:after="0" w:line="240" w:lineRule="auto"/>
                    <w:jc w:val="both"/>
                    <w:rPr>
                      <w:rFonts w:ascii="Times New Roman" w:eastAsia="Times New Roman" w:hAnsi="Times New Roman" w:cs="Times New Roman"/>
                      <w:kern w:val="0"/>
                      <w:sz w:val="20"/>
                      <w:szCs w:val="20"/>
                      <w14:ligatures w14:val="none"/>
                    </w:rPr>
                  </w:pPr>
                  <w:r w:rsidRPr="00EE294E">
                    <w:rPr>
                      <w:rFonts w:ascii="Times New Roman" w:eastAsia="Times New Roman" w:hAnsi="Times New Roman" w:cs="Times New Roman"/>
                      <w:kern w:val="0"/>
                      <w:sz w:val="20"/>
                      <w:szCs w:val="20"/>
                      <w14:ligatures w14:val="none"/>
                    </w:rPr>
                    <w:t>(f)</w:t>
                  </w:r>
                </w:p>
              </w:tc>
              <w:tc>
                <w:tcPr>
                  <w:tcW w:w="9104" w:type="dxa"/>
                  <w:hideMark/>
                </w:tcPr>
                <w:p w14:paraId="23BB637B" w14:textId="77777777" w:rsidR="003C045B" w:rsidRPr="00EE294E" w:rsidRDefault="003C045B" w:rsidP="003C045B">
                  <w:pPr>
                    <w:spacing w:before="120" w:after="0" w:line="240" w:lineRule="auto"/>
                    <w:jc w:val="both"/>
                    <w:rPr>
                      <w:rFonts w:ascii="Times New Roman" w:eastAsia="Times New Roman" w:hAnsi="Times New Roman" w:cs="Times New Roman"/>
                      <w:kern w:val="0"/>
                      <w:sz w:val="20"/>
                      <w:szCs w:val="20"/>
                      <w14:ligatures w14:val="none"/>
                    </w:rPr>
                  </w:pPr>
                  <w:r w:rsidRPr="00EE294E">
                    <w:rPr>
                      <w:rFonts w:ascii="Times New Roman" w:eastAsia="Times New Roman" w:hAnsi="Times New Roman" w:cs="Times New Roman"/>
                      <w:kern w:val="0"/>
                      <w:sz w:val="20"/>
                      <w:szCs w:val="20"/>
                      <w14:ligatures w14:val="none"/>
                    </w:rPr>
                    <w:t xml:space="preserve">t’u vërë në dispozicion Shteteve Anëtare të gjithë informacionin e nevojshëm për të demonstruar pajtueshmërinë me detyrimet e përcaktuara në këtë Nen dhe të lejojë e të kontribuojë në auditime, duke përfshirë inspektimet, të kryera nga Shtetet </w:t>
                  </w:r>
                  <w:r w:rsidRPr="00EE294E">
                    <w:rPr>
                      <w:rFonts w:ascii="Times New Roman" w:eastAsia="Times New Roman" w:hAnsi="Times New Roman" w:cs="Times New Roman"/>
                      <w:kern w:val="0"/>
                      <w:sz w:val="20"/>
                      <w:szCs w:val="20"/>
                      <w14:ligatures w14:val="none"/>
                    </w:rPr>
                    <w:lastRenderedPageBreak/>
                    <w:t>Anëtare ose një auditor tjetër i mandatuar nga Shtetet Anëtare, në respekt të plotë të Protokollit (Nr. 7) të Traktatit për Funksionimin e Bashkimit Evropian mbi Privilegjet dhe Imunitetet e Bashkimit Evropian.</w:t>
                  </w:r>
                </w:p>
              </w:tc>
            </w:tr>
          </w:tbl>
          <w:p w14:paraId="2DF3E396" w14:textId="48991900" w:rsidR="003C045B" w:rsidRPr="00EE294E" w:rsidRDefault="003C045B" w:rsidP="003C045B">
            <w:pPr>
              <w:jc w:val="both"/>
              <w:rPr>
                <w:rFonts w:ascii="Times New Roman" w:eastAsia="Calibri" w:hAnsi="Times New Roman" w:cs="Times New Roman"/>
                <w:iCs/>
                <w:sz w:val="20"/>
                <w:szCs w:val="20"/>
              </w:rPr>
            </w:pPr>
          </w:p>
        </w:tc>
        <w:tc>
          <w:tcPr>
            <w:tcW w:w="450" w:type="dxa"/>
          </w:tcPr>
          <w:p w14:paraId="5C12CE0E" w14:textId="77777777" w:rsidR="003C045B" w:rsidRPr="00EE294E" w:rsidRDefault="003C045B" w:rsidP="003C045B">
            <w:pPr>
              <w:jc w:val="center"/>
              <w:rPr>
                <w:rFonts w:ascii="Times New Roman" w:eastAsia="Calibri" w:hAnsi="Times New Roman" w:cs="Times New Roman"/>
                <w:sz w:val="20"/>
                <w:szCs w:val="20"/>
              </w:rPr>
            </w:pPr>
          </w:p>
        </w:tc>
        <w:tc>
          <w:tcPr>
            <w:tcW w:w="644" w:type="dxa"/>
          </w:tcPr>
          <w:p w14:paraId="31FA75E7" w14:textId="2EBF34CF" w:rsidR="003C045B" w:rsidRPr="00EE294E" w:rsidRDefault="003D7B59" w:rsidP="003C045B">
            <w:pPr>
              <w:jc w:val="center"/>
              <w:rPr>
                <w:rFonts w:ascii="Times New Roman" w:eastAsia="Calibri" w:hAnsi="Times New Roman" w:cs="Times New Roman"/>
                <w:sz w:val="20"/>
                <w:szCs w:val="20"/>
                <w:lang w:val="en-US"/>
              </w:rPr>
            </w:pPr>
            <w:r w:rsidRPr="00EE294E">
              <w:rPr>
                <w:rFonts w:ascii="Times New Roman" w:eastAsia="Calibri" w:hAnsi="Times New Roman" w:cs="Times New Roman"/>
                <w:sz w:val="20"/>
                <w:szCs w:val="20"/>
                <w:lang w:val="en-US"/>
              </w:rPr>
              <w:t>Neni 12</w:t>
            </w:r>
          </w:p>
        </w:tc>
        <w:tc>
          <w:tcPr>
            <w:tcW w:w="5040" w:type="dxa"/>
          </w:tcPr>
          <w:p w14:paraId="0CC43CCB" w14:textId="77777777" w:rsidR="003C045B" w:rsidRPr="00EE294E" w:rsidRDefault="003C045B" w:rsidP="007022FA">
            <w:pPr>
              <w:spacing w:line="276" w:lineRule="auto"/>
              <w:jc w:val="both"/>
              <w:rPr>
                <w:rFonts w:ascii="Times New Roman" w:hAnsi="Times New Roman" w:cs="Times New Roman"/>
                <w:sz w:val="20"/>
                <w:szCs w:val="20"/>
              </w:rPr>
            </w:pPr>
          </w:p>
          <w:p w14:paraId="6474648E" w14:textId="1C12F3C8" w:rsidR="003C3D4C" w:rsidRPr="00EE294E" w:rsidRDefault="003C3D4C" w:rsidP="003C3D4C">
            <w:pPr>
              <w:spacing w:line="276" w:lineRule="auto"/>
              <w:jc w:val="both"/>
              <w:rPr>
                <w:rFonts w:ascii="Times New Roman" w:eastAsia="Calibri" w:hAnsi="Times New Roman" w:cs="Times New Roman"/>
                <w:sz w:val="20"/>
                <w:szCs w:val="20"/>
              </w:rPr>
            </w:pPr>
            <w:r w:rsidRPr="00EE294E">
              <w:rPr>
                <w:rFonts w:ascii="Times New Roman" w:eastAsia="Calibri" w:hAnsi="Times New Roman" w:cs="Times New Roman"/>
                <w:sz w:val="20"/>
                <w:szCs w:val="20"/>
              </w:rPr>
              <w:t>1.</w:t>
            </w:r>
            <w:r w:rsidRPr="00EE294E">
              <w:rPr>
                <w:rFonts w:ascii="Times New Roman" w:eastAsia="Calibri" w:hAnsi="Times New Roman" w:cs="Times New Roman"/>
                <w:sz w:val="20"/>
                <w:szCs w:val="20"/>
              </w:rPr>
              <w:tab/>
              <w:t xml:space="preserve">Drejtoria e Përgjithshme e Tatimeve i përdor të dhënat për qëllime tatimore, përfshirë analizën e riskut dhe luftën kundër mashtrimeve me TVSH-në, në përputhje me Rregulloren </w:t>
            </w:r>
            <w:r w:rsidR="00A570A7" w:rsidRPr="00EE294E">
              <w:rPr>
                <w:rFonts w:ascii="Times New Roman" w:eastAsia="Calibri" w:hAnsi="Times New Roman" w:cs="Times New Roman"/>
                <w:sz w:val="20"/>
                <w:szCs w:val="20"/>
              </w:rPr>
              <w:t xml:space="preserve">e Këshillit  Evropian nr. </w:t>
            </w:r>
            <w:r w:rsidRPr="00EE294E">
              <w:rPr>
                <w:rFonts w:ascii="Times New Roman" w:eastAsia="Calibri" w:hAnsi="Times New Roman" w:cs="Times New Roman"/>
                <w:sz w:val="20"/>
                <w:szCs w:val="20"/>
              </w:rPr>
              <w:t xml:space="preserve">904/2010, </w:t>
            </w:r>
            <w:r w:rsidR="00A570A7" w:rsidRPr="00EE294E">
              <w:rPr>
                <w:rFonts w:ascii="Times New Roman" w:eastAsia="Calibri" w:hAnsi="Times New Roman" w:cs="Times New Roman"/>
                <w:sz w:val="20"/>
                <w:szCs w:val="20"/>
              </w:rPr>
              <w:t xml:space="preserve">të </w:t>
            </w:r>
            <w:r w:rsidRPr="00EE294E">
              <w:rPr>
                <w:rFonts w:ascii="Times New Roman" w:eastAsia="Calibri" w:hAnsi="Times New Roman" w:cs="Times New Roman"/>
                <w:sz w:val="20"/>
                <w:szCs w:val="20"/>
              </w:rPr>
              <w:t>ndryshuar</w:t>
            </w:r>
            <w:r w:rsidR="00A570A7" w:rsidRPr="00EE294E">
              <w:rPr>
                <w:rFonts w:ascii="Times New Roman" w:eastAsia="Calibri" w:hAnsi="Times New Roman" w:cs="Times New Roman"/>
                <w:sz w:val="20"/>
                <w:szCs w:val="20"/>
              </w:rPr>
              <w:t>.</w:t>
            </w:r>
            <w:r w:rsidRPr="00EE294E">
              <w:rPr>
                <w:rFonts w:ascii="Times New Roman" w:eastAsia="Calibri" w:hAnsi="Times New Roman" w:cs="Times New Roman"/>
                <w:sz w:val="20"/>
                <w:szCs w:val="20"/>
              </w:rPr>
              <w:t xml:space="preserve"> </w:t>
            </w:r>
          </w:p>
          <w:p w14:paraId="60429950" w14:textId="77777777" w:rsidR="003C3D4C" w:rsidRPr="00EE294E" w:rsidRDefault="003C3D4C" w:rsidP="003C3D4C">
            <w:pPr>
              <w:spacing w:line="276" w:lineRule="auto"/>
              <w:jc w:val="both"/>
              <w:rPr>
                <w:rFonts w:ascii="Times New Roman" w:eastAsia="Calibri" w:hAnsi="Times New Roman" w:cs="Times New Roman"/>
                <w:sz w:val="20"/>
                <w:szCs w:val="20"/>
              </w:rPr>
            </w:pPr>
            <w:r w:rsidRPr="00EE294E">
              <w:rPr>
                <w:rFonts w:ascii="Times New Roman" w:eastAsia="Calibri" w:hAnsi="Times New Roman" w:cs="Times New Roman"/>
                <w:sz w:val="20"/>
                <w:szCs w:val="20"/>
              </w:rPr>
              <w:t>2.</w:t>
            </w:r>
            <w:r w:rsidRPr="00EE294E">
              <w:rPr>
                <w:rFonts w:ascii="Times New Roman" w:eastAsia="Calibri" w:hAnsi="Times New Roman" w:cs="Times New Roman"/>
                <w:sz w:val="20"/>
                <w:szCs w:val="20"/>
              </w:rPr>
              <w:tab/>
              <w:t>Drejtoria e Përgjithshme e Tatimeve ruan të dhënat e raportuara për pesë (5) vjet nga data e pranimit.</w:t>
            </w:r>
          </w:p>
          <w:p w14:paraId="76008A52" w14:textId="4FFBB9E7" w:rsidR="003C3D4C" w:rsidRPr="00EE294E" w:rsidRDefault="003C3D4C" w:rsidP="003C3D4C">
            <w:pPr>
              <w:spacing w:line="276" w:lineRule="auto"/>
              <w:jc w:val="both"/>
              <w:rPr>
                <w:rFonts w:ascii="Times New Roman" w:eastAsia="Calibri" w:hAnsi="Times New Roman" w:cs="Times New Roman"/>
                <w:sz w:val="20"/>
                <w:szCs w:val="20"/>
              </w:rPr>
            </w:pPr>
            <w:r w:rsidRPr="00EE294E">
              <w:rPr>
                <w:rFonts w:ascii="Times New Roman" w:eastAsia="Calibri" w:hAnsi="Times New Roman" w:cs="Times New Roman"/>
                <w:sz w:val="20"/>
                <w:szCs w:val="20"/>
              </w:rPr>
              <w:t>3.</w:t>
            </w:r>
            <w:r w:rsidRPr="00EE294E">
              <w:rPr>
                <w:rFonts w:ascii="Times New Roman" w:eastAsia="Calibri" w:hAnsi="Times New Roman" w:cs="Times New Roman"/>
                <w:sz w:val="20"/>
                <w:szCs w:val="20"/>
              </w:rPr>
              <w:tab/>
              <w:t xml:space="preserve">Përpunimi i të dhënave personale dhe informimi i subjektit të të dhënave personale nga ana e </w:t>
            </w:r>
            <w:r w:rsidR="00A570A7" w:rsidRPr="00EE294E">
              <w:rPr>
                <w:rFonts w:ascii="Times New Roman" w:eastAsia="Calibri" w:hAnsi="Times New Roman" w:cs="Times New Roman"/>
                <w:sz w:val="20"/>
                <w:szCs w:val="20"/>
              </w:rPr>
              <w:t>Ofruesve të</w:t>
            </w:r>
            <w:r w:rsidRPr="00EE294E">
              <w:rPr>
                <w:rFonts w:ascii="Times New Roman" w:eastAsia="Calibri" w:hAnsi="Times New Roman" w:cs="Times New Roman"/>
                <w:sz w:val="20"/>
                <w:szCs w:val="20"/>
              </w:rPr>
              <w:t xml:space="preserve"> </w:t>
            </w:r>
            <w:r w:rsidR="00A570A7" w:rsidRPr="00EE294E">
              <w:rPr>
                <w:rFonts w:ascii="Times New Roman" w:eastAsia="Calibri" w:hAnsi="Times New Roman" w:cs="Times New Roman"/>
                <w:sz w:val="20"/>
                <w:szCs w:val="20"/>
              </w:rPr>
              <w:t xml:space="preserve">shërbimeve </w:t>
            </w:r>
            <w:r w:rsidRPr="00EE294E">
              <w:rPr>
                <w:rFonts w:ascii="Times New Roman" w:eastAsia="Calibri" w:hAnsi="Times New Roman" w:cs="Times New Roman"/>
                <w:sz w:val="20"/>
                <w:szCs w:val="20"/>
              </w:rPr>
              <w:t>të pagesave kryhet sipas rregullave të parashikuara nga legjislacioni në fuqi për mbrojtjen e të dhënave personale.</w:t>
            </w:r>
          </w:p>
          <w:p w14:paraId="0DC75A16" w14:textId="0717C197" w:rsidR="003C3D4C" w:rsidRPr="00EE294E" w:rsidRDefault="003C3D4C" w:rsidP="003C3D4C">
            <w:pPr>
              <w:spacing w:line="276" w:lineRule="auto"/>
              <w:jc w:val="both"/>
              <w:rPr>
                <w:rFonts w:ascii="Times New Roman" w:eastAsia="Calibri" w:hAnsi="Times New Roman" w:cs="Times New Roman"/>
                <w:sz w:val="20"/>
                <w:szCs w:val="20"/>
              </w:rPr>
            </w:pPr>
            <w:r w:rsidRPr="00EE294E">
              <w:rPr>
                <w:rFonts w:ascii="Times New Roman" w:eastAsia="Calibri" w:hAnsi="Times New Roman" w:cs="Times New Roman"/>
                <w:sz w:val="20"/>
                <w:szCs w:val="20"/>
              </w:rPr>
              <w:t>4.</w:t>
            </w:r>
            <w:r w:rsidRPr="00EE294E">
              <w:rPr>
                <w:rFonts w:ascii="Times New Roman" w:eastAsia="Calibri" w:hAnsi="Times New Roman" w:cs="Times New Roman"/>
                <w:sz w:val="20"/>
                <w:szCs w:val="20"/>
              </w:rPr>
              <w:tab/>
              <w:t xml:space="preserve">Përdorimi i të dhënave për qëllime të tjera është i ndaluar, përveç rasteve të publikimit të të dhënave statistikore nga </w:t>
            </w:r>
            <w:r w:rsidR="00746E74" w:rsidRPr="00EE294E">
              <w:rPr>
                <w:rFonts w:ascii="Times New Roman" w:eastAsia="Calibri" w:hAnsi="Times New Roman" w:cs="Times New Roman"/>
                <w:sz w:val="20"/>
                <w:szCs w:val="20"/>
              </w:rPr>
              <w:t>administrata tatimore</w:t>
            </w:r>
            <w:r w:rsidRPr="00EE294E">
              <w:rPr>
                <w:rFonts w:ascii="Times New Roman" w:eastAsia="Calibri" w:hAnsi="Times New Roman" w:cs="Times New Roman"/>
                <w:sz w:val="20"/>
                <w:szCs w:val="20"/>
              </w:rPr>
              <w:t xml:space="preserve"> që janë përgjegjëse për publikimin e statistikave zyrtare në Republikën e Republikës së Shqipërisë, sipas legjislacionit në fuqi për statistikat zyrtare.</w:t>
            </w:r>
          </w:p>
          <w:p w14:paraId="33D7BFDB" w14:textId="356A7C32" w:rsidR="003C3D4C" w:rsidRPr="00EE294E" w:rsidRDefault="003C3D4C" w:rsidP="003C3D4C">
            <w:pPr>
              <w:spacing w:line="276" w:lineRule="auto"/>
              <w:jc w:val="both"/>
              <w:rPr>
                <w:rFonts w:ascii="Times New Roman" w:eastAsia="Calibri" w:hAnsi="Times New Roman" w:cs="Times New Roman"/>
                <w:sz w:val="20"/>
                <w:szCs w:val="20"/>
              </w:rPr>
            </w:pPr>
            <w:r w:rsidRPr="00EE294E">
              <w:rPr>
                <w:rFonts w:ascii="Times New Roman" w:eastAsia="Calibri" w:hAnsi="Times New Roman" w:cs="Times New Roman"/>
                <w:sz w:val="20"/>
                <w:szCs w:val="20"/>
              </w:rPr>
              <w:t>5.</w:t>
            </w:r>
            <w:r w:rsidRPr="00EE294E">
              <w:rPr>
                <w:rFonts w:ascii="Times New Roman" w:eastAsia="Calibri" w:hAnsi="Times New Roman" w:cs="Times New Roman"/>
                <w:sz w:val="20"/>
                <w:szCs w:val="20"/>
              </w:rPr>
              <w:tab/>
              <w:t xml:space="preserve">Informacioni i kërkuar, sipas pikës </w:t>
            </w:r>
            <w:r w:rsidR="00A570A7" w:rsidRPr="00EE294E">
              <w:rPr>
                <w:rFonts w:ascii="Times New Roman" w:eastAsia="Calibri" w:hAnsi="Times New Roman" w:cs="Times New Roman"/>
                <w:sz w:val="20"/>
                <w:szCs w:val="20"/>
              </w:rPr>
              <w:t xml:space="preserve">4 </w:t>
            </w:r>
            <w:r w:rsidRPr="00EE294E">
              <w:rPr>
                <w:rFonts w:ascii="Times New Roman" w:eastAsia="Calibri" w:hAnsi="Times New Roman" w:cs="Times New Roman"/>
                <w:sz w:val="20"/>
                <w:szCs w:val="20"/>
              </w:rPr>
              <w:t>të këtij neni, jepet vetëm në formë të anonimizuar.</w:t>
            </w:r>
          </w:p>
          <w:p w14:paraId="7089E5B9" w14:textId="76E8016F" w:rsidR="003C045B" w:rsidRPr="00EE294E" w:rsidRDefault="003C3D4C" w:rsidP="003C3D4C">
            <w:pPr>
              <w:spacing w:line="276" w:lineRule="auto"/>
              <w:jc w:val="both"/>
              <w:rPr>
                <w:rFonts w:ascii="Times New Roman" w:eastAsia="Calibri" w:hAnsi="Times New Roman" w:cs="Times New Roman"/>
                <w:sz w:val="20"/>
                <w:szCs w:val="20"/>
              </w:rPr>
            </w:pPr>
            <w:r w:rsidRPr="00EE294E">
              <w:rPr>
                <w:rFonts w:ascii="Times New Roman" w:eastAsia="Calibri" w:hAnsi="Times New Roman" w:cs="Times New Roman"/>
                <w:sz w:val="20"/>
                <w:szCs w:val="20"/>
              </w:rPr>
              <w:lastRenderedPageBreak/>
              <w:t>6.</w:t>
            </w:r>
            <w:r w:rsidRPr="00EE294E">
              <w:rPr>
                <w:rFonts w:ascii="Times New Roman" w:eastAsia="Calibri" w:hAnsi="Times New Roman" w:cs="Times New Roman"/>
                <w:sz w:val="20"/>
                <w:szCs w:val="20"/>
              </w:rPr>
              <w:tab/>
              <w:t>Të dhënat e ruajtura trajtohen në përputhje me ligjin për mbrojtjen e të dhënave personale dhe standardet ndërkombëtare të sigurisë së informacionit, duke përfshirë protokollet ISO 27001 dhe standardet e sigurisë kibernetike.</w:t>
            </w:r>
          </w:p>
        </w:tc>
        <w:tc>
          <w:tcPr>
            <w:tcW w:w="720" w:type="dxa"/>
          </w:tcPr>
          <w:p w14:paraId="753EE87F" w14:textId="6B2744C9" w:rsidR="003C045B" w:rsidRPr="00EE294E" w:rsidRDefault="003C045B" w:rsidP="003C045B">
            <w:pPr>
              <w:jc w:val="center"/>
              <w:rPr>
                <w:rFonts w:ascii="Times New Roman" w:eastAsia="Calibri" w:hAnsi="Times New Roman" w:cs="Times New Roman"/>
                <w:sz w:val="20"/>
                <w:szCs w:val="20"/>
                <w:lang w:val="en-US"/>
              </w:rPr>
            </w:pPr>
            <w:r w:rsidRPr="00EE294E">
              <w:rPr>
                <w:rFonts w:ascii="Times New Roman" w:eastAsia="Calibri" w:hAnsi="Times New Roman" w:cs="Times New Roman"/>
                <w:sz w:val="20"/>
                <w:szCs w:val="20"/>
                <w:lang w:val="en-US"/>
              </w:rPr>
              <w:lastRenderedPageBreak/>
              <w:t>F</w:t>
            </w:r>
          </w:p>
        </w:tc>
        <w:tc>
          <w:tcPr>
            <w:tcW w:w="3510" w:type="dxa"/>
          </w:tcPr>
          <w:p w14:paraId="1930D9F8" w14:textId="7970FF18" w:rsidR="00E1458D" w:rsidRPr="00EE294E" w:rsidRDefault="0009621F" w:rsidP="003C045B">
            <w:pPr>
              <w:pBdr>
                <w:top w:val="nil"/>
                <w:left w:val="nil"/>
                <w:bottom w:val="nil"/>
                <w:right w:val="nil"/>
                <w:between w:val="nil"/>
              </w:pBdr>
              <w:spacing w:before="120"/>
              <w:jc w:val="both"/>
              <w:rPr>
                <w:rFonts w:ascii="Times New Roman" w:eastAsia="Times New Roman" w:hAnsi="Times New Roman" w:cs="Times New Roman"/>
                <w:sz w:val="20"/>
                <w:szCs w:val="20"/>
              </w:rPr>
            </w:pPr>
            <w:r w:rsidRPr="00EE294E">
              <w:rPr>
                <w:rFonts w:ascii="Times New Roman" w:eastAsia="Times New Roman" w:hAnsi="Times New Roman" w:cs="Times New Roman"/>
                <w:sz w:val="20"/>
                <w:szCs w:val="20"/>
              </w:rPr>
              <w:t>Në përputhje.</w:t>
            </w:r>
          </w:p>
          <w:p w14:paraId="2CCAD272" w14:textId="7EF740B7" w:rsidR="003C045B" w:rsidRPr="00EE294E" w:rsidRDefault="003C045B" w:rsidP="003C045B">
            <w:pPr>
              <w:pBdr>
                <w:top w:val="nil"/>
                <w:left w:val="nil"/>
                <w:bottom w:val="nil"/>
                <w:right w:val="nil"/>
                <w:between w:val="nil"/>
              </w:pBdr>
              <w:spacing w:before="120"/>
              <w:jc w:val="both"/>
              <w:rPr>
                <w:rFonts w:ascii="Times New Roman" w:hAnsi="Times New Roman" w:cs="Times New Roman"/>
                <w:sz w:val="20"/>
                <w:szCs w:val="20"/>
                <w:lang w:val="en-US"/>
              </w:rPr>
            </w:pPr>
            <w:r w:rsidRPr="00EE294E">
              <w:rPr>
                <w:rFonts w:ascii="Times New Roman" w:eastAsia="Times New Roman" w:hAnsi="Times New Roman" w:cs="Times New Roman"/>
                <w:sz w:val="20"/>
                <w:szCs w:val="20"/>
              </w:rPr>
              <w:t>Neni 12 pasqyron kërkesat e Nenit 7 të Rregullores Zbatuese (BE) 2022/1504, duke përfshirë:</w:t>
            </w:r>
          </w:p>
          <w:p w14:paraId="7BF82B63" w14:textId="77777777" w:rsidR="003C045B" w:rsidRPr="00EE294E" w:rsidRDefault="003C045B">
            <w:pPr>
              <w:numPr>
                <w:ilvl w:val="0"/>
                <w:numId w:val="2"/>
              </w:numPr>
              <w:pBdr>
                <w:top w:val="nil"/>
                <w:left w:val="nil"/>
                <w:bottom w:val="nil"/>
                <w:right w:val="nil"/>
                <w:between w:val="nil"/>
              </w:pBdr>
              <w:tabs>
                <w:tab w:val="num" w:pos="720"/>
              </w:tabs>
              <w:spacing w:before="120"/>
              <w:jc w:val="both"/>
              <w:rPr>
                <w:rFonts w:ascii="Times New Roman" w:eastAsia="Times New Roman" w:hAnsi="Times New Roman" w:cs="Times New Roman"/>
                <w:sz w:val="20"/>
                <w:szCs w:val="20"/>
                <w:lang w:val="en-US"/>
              </w:rPr>
            </w:pPr>
            <w:proofErr w:type="spellStart"/>
            <w:r w:rsidRPr="00EE294E">
              <w:rPr>
                <w:rFonts w:ascii="Times New Roman" w:eastAsia="Times New Roman" w:hAnsi="Times New Roman" w:cs="Times New Roman"/>
                <w:sz w:val="20"/>
                <w:szCs w:val="20"/>
                <w:lang w:val="en-US"/>
              </w:rPr>
              <w:t>periudha</w:t>
            </w:r>
            <w:proofErr w:type="spellEnd"/>
            <w:r w:rsidRPr="00EE294E">
              <w:rPr>
                <w:rFonts w:ascii="Times New Roman" w:eastAsia="Times New Roman" w:hAnsi="Times New Roman" w:cs="Times New Roman"/>
                <w:sz w:val="20"/>
                <w:szCs w:val="20"/>
                <w:lang w:val="en-US"/>
              </w:rPr>
              <w:t xml:space="preserve"> </w:t>
            </w:r>
            <w:proofErr w:type="spellStart"/>
            <w:r w:rsidRPr="00EE294E">
              <w:rPr>
                <w:rFonts w:ascii="Times New Roman" w:eastAsia="Times New Roman" w:hAnsi="Times New Roman" w:cs="Times New Roman"/>
                <w:sz w:val="20"/>
                <w:szCs w:val="20"/>
                <w:lang w:val="en-US"/>
              </w:rPr>
              <w:t>pesëvjeçare</w:t>
            </w:r>
            <w:proofErr w:type="spellEnd"/>
            <w:r w:rsidRPr="00EE294E">
              <w:rPr>
                <w:rFonts w:ascii="Times New Roman" w:eastAsia="Times New Roman" w:hAnsi="Times New Roman" w:cs="Times New Roman"/>
                <w:sz w:val="20"/>
                <w:szCs w:val="20"/>
                <w:lang w:val="en-US"/>
              </w:rPr>
              <w:t xml:space="preserve"> e </w:t>
            </w:r>
            <w:proofErr w:type="spellStart"/>
            <w:r w:rsidRPr="00EE294E">
              <w:rPr>
                <w:rFonts w:ascii="Times New Roman" w:eastAsia="Times New Roman" w:hAnsi="Times New Roman" w:cs="Times New Roman"/>
                <w:sz w:val="20"/>
                <w:szCs w:val="20"/>
                <w:lang w:val="en-US"/>
              </w:rPr>
              <w:t>ruajtjes</w:t>
            </w:r>
            <w:proofErr w:type="spellEnd"/>
            <w:r w:rsidRPr="00EE294E">
              <w:rPr>
                <w:rFonts w:ascii="Times New Roman" w:eastAsia="Times New Roman" w:hAnsi="Times New Roman" w:cs="Times New Roman"/>
                <w:sz w:val="20"/>
                <w:szCs w:val="20"/>
                <w:lang w:val="en-US"/>
              </w:rPr>
              <w:t xml:space="preserve"> </w:t>
            </w:r>
            <w:proofErr w:type="spellStart"/>
            <w:r w:rsidRPr="00EE294E">
              <w:rPr>
                <w:rFonts w:ascii="Times New Roman" w:eastAsia="Times New Roman" w:hAnsi="Times New Roman" w:cs="Times New Roman"/>
                <w:sz w:val="20"/>
                <w:szCs w:val="20"/>
                <w:lang w:val="en-US"/>
              </w:rPr>
              <w:t>së</w:t>
            </w:r>
            <w:proofErr w:type="spellEnd"/>
            <w:r w:rsidRPr="00EE294E">
              <w:rPr>
                <w:rFonts w:ascii="Times New Roman" w:eastAsia="Times New Roman" w:hAnsi="Times New Roman" w:cs="Times New Roman"/>
                <w:sz w:val="20"/>
                <w:szCs w:val="20"/>
                <w:lang w:val="en-US"/>
              </w:rPr>
              <w:t xml:space="preserve"> </w:t>
            </w:r>
            <w:proofErr w:type="spellStart"/>
            <w:r w:rsidRPr="00EE294E">
              <w:rPr>
                <w:rFonts w:ascii="Times New Roman" w:eastAsia="Times New Roman" w:hAnsi="Times New Roman" w:cs="Times New Roman"/>
                <w:sz w:val="20"/>
                <w:szCs w:val="20"/>
                <w:lang w:val="en-US"/>
              </w:rPr>
              <w:t>të</w:t>
            </w:r>
            <w:proofErr w:type="spellEnd"/>
            <w:r w:rsidRPr="00EE294E">
              <w:rPr>
                <w:rFonts w:ascii="Times New Roman" w:eastAsia="Times New Roman" w:hAnsi="Times New Roman" w:cs="Times New Roman"/>
                <w:sz w:val="20"/>
                <w:szCs w:val="20"/>
                <w:lang w:val="en-US"/>
              </w:rPr>
              <w:t xml:space="preserve"> </w:t>
            </w:r>
            <w:proofErr w:type="spellStart"/>
            <w:r w:rsidRPr="00EE294E">
              <w:rPr>
                <w:rFonts w:ascii="Times New Roman" w:eastAsia="Times New Roman" w:hAnsi="Times New Roman" w:cs="Times New Roman"/>
                <w:sz w:val="20"/>
                <w:szCs w:val="20"/>
                <w:lang w:val="en-US"/>
              </w:rPr>
              <w:t>dhënave</w:t>
            </w:r>
            <w:proofErr w:type="spellEnd"/>
            <w:r w:rsidRPr="00EE294E">
              <w:rPr>
                <w:rFonts w:ascii="Times New Roman" w:eastAsia="Times New Roman" w:hAnsi="Times New Roman" w:cs="Times New Roman"/>
                <w:sz w:val="20"/>
                <w:szCs w:val="20"/>
                <w:lang w:val="en-US"/>
              </w:rPr>
              <w:t>,</w:t>
            </w:r>
          </w:p>
          <w:p w14:paraId="7AA57C35" w14:textId="77777777" w:rsidR="003C045B" w:rsidRPr="00EE294E" w:rsidRDefault="003C045B">
            <w:pPr>
              <w:numPr>
                <w:ilvl w:val="0"/>
                <w:numId w:val="2"/>
              </w:numPr>
              <w:pBdr>
                <w:top w:val="nil"/>
                <w:left w:val="nil"/>
                <w:bottom w:val="nil"/>
                <w:right w:val="nil"/>
                <w:between w:val="nil"/>
              </w:pBdr>
              <w:tabs>
                <w:tab w:val="num" w:pos="720"/>
              </w:tabs>
              <w:spacing w:before="120"/>
              <w:jc w:val="both"/>
              <w:rPr>
                <w:rFonts w:ascii="Times New Roman" w:eastAsia="Times New Roman" w:hAnsi="Times New Roman" w:cs="Times New Roman"/>
                <w:sz w:val="20"/>
                <w:szCs w:val="20"/>
                <w:lang w:val="it-CH"/>
              </w:rPr>
            </w:pPr>
            <w:r w:rsidRPr="00EE294E">
              <w:rPr>
                <w:rFonts w:ascii="Times New Roman" w:eastAsia="Times New Roman" w:hAnsi="Times New Roman" w:cs="Times New Roman"/>
                <w:sz w:val="20"/>
                <w:szCs w:val="20"/>
                <w:lang w:val="it-CH"/>
              </w:rPr>
              <w:t>kufizimi i përdorimit për qëllime tatimore,</w:t>
            </w:r>
          </w:p>
          <w:p w14:paraId="399AF836" w14:textId="77777777" w:rsidR="003C045B" w:rsidRPr="00EE294E" w:rsidRDefault="003C045B">
            <w:pPr>
              <w:numPr>
                <w:ilvl w:val="0"/>
                <w:numId w:val="2"/>
              </w:numPr>
              <w:pBdr>
                <w:top w:val="nil"/>
                <w:left w:val="nil"/>
                <w:bottom w:val="nil"/>
                <w:right w:val="nil"/>
                <w:between w:val="nil"/>
              </w:pBdr>
              <w:tabs>
                <w:tab w:val="num" w:pos="720"/>
              </w:tabs>
              <w:spacing w:before="120"/>
              <w:jc w:val="both"/>
              <w:rPr>
                <w:rFonts w:ascii="Times New Roman" w:eastAsia="Times New Roman" w:hAnsi="Times New Roman" w:cs="Times New Roman"/>
                <w:sz w:val="20"/>
                <w:szCs w:val="20"/>
                <w:lang w:val="it-CH"/>
              </w:rPr>
            </w:pPr>
            <w:r w:rsidRPr="00EE294E">
              <w:rPr>
                <w:rFonts w:ascii="Times New Roman" w:eastAsia="Times New Roman" w:hAnsi="Times New Roman" w:cs="Times New Roman"/>
                <w:sz w:val="20"/>
                <w:szCs w:val="20"/>
                <w:lang w:val="it-CH"/>
              </w:rPr>
              <w:t>respektimi i rregullave për mbrojtjen e të dhënave personale,</w:t>
            </w:r>
          </w:p>
          <w:p w14:paraId="09310C4F" w14:textId="77777777" w:rsidR="003C045B" w:rsidRPr="00EE294E" w:rsidRDefault="003C045B">
            <w:pPr>
              <w:numPr>
                <w:ilvl w:val="0"/>
                <w:numId w:val="2"/>
              </w:numPr>
              <w:pBdr>
                <w:top w:val="nil"/>
                <w:left w:val="nil"/>
                <w:bottom w:val="nil"/>
                <w:right w:val="nil"/>
                <w:between w:val="nil"/>
              </w:pBdr>
              <w:tabs>
                <w:tab w:val="num" w:pos="720"/>
              </w:tabs>
              <w:spacing w:before="120"/>
              <w:jc w:val="both"/>
              <w:rPr>
                <w:rFonts w:ascii="Times New Roman" w:eastAsia="Times New Roman" w:hAnsi="Times New Roman" w:cs="Times New Roman"/>
                <w:sz w:val="20"/>
                <w:szCs w:val="20"/>
                <w:lang w:val="it-CH"/>
              </w:rPr>
            </w:pPr>
            <w:r w:rsidRPr="00EE294E">
              <w:rPr>
                <w:rFonts w:ascii="Times New Roman" w:eastAsia="Times New Roman" w:hAnsi="Times New Roman" w:cs="Times New Roman"/>
                <w:sz w:val="20"/>
                <w:szCs w:val="20"/>
                <w:lang w:val="it-CH"/>
              </w:rPr>
              <w:t>dhe sigurimin e anonimizimit në publikimet statistikore.</w:t>
            </w:r>
          </w:p>
          <w:p w14:paraId="096A4328" w14:textId="77777777" w:rsidR="003C045B" w:rsidRPr="00EE294E" w:rsidRDefault="003C045B" w:rsidP="003C045B">
            <w:pPr>
              <w:rPr>
                <w:rFonts w:ascii="Times New Roman" w:eastAsia="Calibri" w:hAnsi="Times New Roman" w:cs="Times New Roman"/>
                <w:sz w:val="20"/>
                <w:szCs w:val="20"/>
                <w:lang w:val="it-CH"/>
              </w:rPr>
            </w:pPr>
          </w:p>
        </w:tc>
      </w:tr>
      <w:tr w:rsidR="003C045B" w:rsidRPr="00EE294E" w14:paraId="6BF88948" w14:textId="77777777" w:rsidTr="00990A3C">
        <w:tc>
          <w:tcPr>
            <w:tcW w:w="540" w:type="dxa"/>
          </w:tcPr>
          <w:p w14:paraId="0B20EF4D" w14:textId="5065F7F9" w:rsidR="003C045B" w:rsidRPr="00EE294E" w:rsidRDefault="003C045B" w:rsidP="003C045B">
            <w:pPr>
              <w:jc w:val="both"/>
              <w:rPr>
                <w:rFonts w:ascii="Times New Roman" w:eastAsia="Calibri" w:hAnsi="Times New Roman" w:cs="Times New Roman"/>
                <w:sz w:val="20"/>
                <w:szCs w:val="20"/>
                <w:lang w:val="it-CH"/>
              </w:rPr>
            </w:pPr>
          </w:p>
        </w:tc>
        <w:tc>
          <w:tcPr>
            <w:tcW w:w="5400" w:type="dxa"/>
            <w:vMerge/>
          </w:tcPr>
          <w:p w14:paraId="09890B82" w14:textId="19AB0185" w:rsidR="003C045B" w:rsidRPr="00EE294E" w:rsidRDefault="003C045B" w:rsidP="003C045B">
            <w:pPr>
              <w:jc w:val="both"/>
              <w:rPr>
                <w:rFonts w:ascii="Times New Roman" w:eastAsia="Calibri" w:hAnsi="Times New Roman" w:cs="Times New Roman"/>
                <w:iCs/>
                <w:sz w:val="20"/>
                <w:szCs w:val="20"/>
                <w:lang w:val="it-CH"/>
              </w:rPr>
            </w:pPr>
          </w:p>
        </w:tc>
        <w:tc>
          <w:tcPr>
            <w:tcW w:w="450" w:type="dxa"/>
            <w:shd w:val="clear" w:color="auto" w:fill="D0CECE" w:themeFill="background2" w:themeFillShade="E6"/>
          </w:tcPr>
          <w:p w14:paraId="082FE915" w14:textId="77777777" w:rsidR="003C045B" w:rsidRPr="00EE294E" w:rsidRDefault="003C045B" w:rsidP="003C045B">
            <w:pPr>
              <w:jc w:val="center"/>
              <w:rPr>
                <w:rFonts w:ascii="Times New Roman" w:eastAsia="Calibri" w:hAnsi="Times New Roman" w:cs="Times New Roman"/>
                <w:sz w:val="20"/>
                <w:szCs w:val="20"/>
              </w:rPr>
            </w:pPr>
          </w:p>
        </w:tc>
        <w:tc>
          <w:tcPr>
            <w:tcW w:w="644" w:type="dxa"/>
            <w:shd w:val="clear" w:color="auto" w:fill="D0CECE" w:themeFill="background2" w:themeFillShade="E6"/>
          </w:tcPr>
          <w:p w14:paraId="1A3D1163" w14:textId="5877D4EA" w:rsidR="003C045B" w:rsidRPr="00EE294E" w:rsidRDefault="003C045B" w:rsidP="003C045B">
            <w:pPr>
              <w:jc w:val="center"/>
              <w:rPr>
                <w:rFonts w:ascii="Times New Roman" w:eastAsia="Calibri" w:hAnsi="Times New Roman" w:cs="Times New Roman"/>
                <w:sz w:val="20"/>
                <w:szCs w:val="20"/>
                <w:lang w:val="it-CH"/>
              </w:rPr>
            </w:pPr>
          </w:p>
        </w:tc>
        <w:tc>
          <w:tcPr>
            <w:tcW w:w="5040" w:type="dxa"/>
            <w:shd w:val="clear" w:color="auto" w:fill="D0CECE" w:themeFill="background2" w:themeFillShade="E6"/>
          </w:tcPr>
          <w:p w14:paraId="6026AFA9" w14:textId="77777777" w:rsidR="002A7599" w:rsidRPr="00EE294E" w:rsidRDefault="002A7599" w:rsidP="002A7599">
            <w:pPr>
              <w:jc w:val="center"/>
              <w:rPr>
                <w:rFonts w:ascii="Times New Roman" w:eastAsia="Calibri" w:hAnsi="Times New Roman" w:cs="Times New Roman"/>
                <w:b/>
                <w:bCs/>
                <w:sz w:val="20"/>
                <w:szCs w:val="20"/>
                <w:lang w:val="it-CH"/>
              </w:rPr>
            </w:pPr>
            <w:r w:rsidRPr="00EE294E">
              <w:rPr>
                <w:rFonts w:ascii="Times New Roman" w:eastAsia="Calibri" w:hAnsi="Times New Roman" w:cs="Times New Roman"/>
                <w:b/>
                <w:bCs/>
                <w:sz w:val="20"/>
                <w:szCs w:val="20"/>
                <w:lang w:val="it-CH"/>
              </w:rPr>
              <w:t>Neni 13</w:t>
            </w:r>
          </w:p>
          <w:p w14:paraId="33D0B877" w14:textId="472DC7A7" w:rsidR="003C045B" w:rsidRPr="00EE294E" w:rsidRDefault="002A7599" w:rsidP="002A7599">
            <w:pPr>
              <w:jc w:val="center"/>
              <w:rPr>
                <w:rFonts w:ascii="Times New Roman" w:eastAsia="Calibri" w:hAnsi="Times New Roman" w:cs="Times New Roman"/>
                <w:sz w:val="20"/>
                <w:szCs w:val="20"/>
                <w:lang w:val="it-CH"/>
              </w:rPr>
            </w:pPr>
            <w:r w:rsidRPr="00EE294E">
              <w:rPr>
                <w:rFonts w:ascii="Times New Roman" w:eastAsia="Calibri" w:hAnsi="Times New Roman" w:cs="Times New Roman"/>
                <w:b/>
                <w:bCs/>
                <w:sz w:val="20"/>
                <w:szCs w:val="20"/>
                <w:lang w:val="it-CH"/>
              </w:rPr>
              <w:t>Siguria e informacionit dhe ndërveprimi me sistemet ndërkombëtare</w:t>
            </w:r>
          </w:p>
        </w:tc>
        <w:tc>
          <w:tcPr>
            <w:tcW w:w="720" w:type="dxa"/>
            <w:shd w:val="clear" w:color="auto" w:fill="D0CECE" w:themeFill="background2" w:themeFillShade="E6"/>
          </w:tcPr>
          <w:p w14:paraId="69417B3B" w14:textId="249C425F" w:rsidR="003C045B" w:rsidRPr="00EE294E" w:rsidRDefault="003C045B" w:rsidP="003C045B">
            <w:pPr>
              <w:jc w:val="center"/>
              <w:rPr>
                <w:rFonts w:ascii="Times New Roman" w:eastAsia="Calibri" w:hAnsi="Times New Roman" w:cs="Times New Roman"/>
                <w:sz w:val="20"/>
                <w:szCs w:val="20"/>
                <w:lang w:val="it-CH"/>
              </w:rPr>
            </w:pPr>
          </w:p>
        </w:tc>
        <w:tc>
          <w:tcPr>
            <w:tcW w:w="3510" w:type="dxa"/>
            <w:shd w:val="clear" w:color="auto" w:fill="D0CECE" w:themeFill="background2" w:themeFillShade="E6"/>
          </w:tcPr>
          <w:p w14:paraId="102163A6" w14:textId="77777777" w:rsidR="003C045B" w:rsidRPr="00EE294E" w:rsidRDefault="003C045B" w:rsidP="003C045B">
            <w:pPr>
              <w:rPr>
                <w:rFonts w:ascii="Times New Roman" w:eastAsia="Calibri" w:hAnsi="Times New Roman" w:cs="Times New Roman"/>
                <w:sz w:val="20"/>
                <w:szCs w:val="20"/>
                <w:lang w:val="it-CH"/>
              </w:rPr>
            </w:pPr>
          </w:p>
        </w:tc>
      </w:tr>
      <w:tr w:rsidR="003C045B" w:rsidRPr="00EE294E" w14:paraId="1E24074C" w14:textId="77777777" w:rsidTr="004738EE">
        <w:trPr>
          <w:trHeight w:val="195"/>
        </w:trPr>
        <w:tc>
          <w:tcPr>
            <w:tcW w:w="540" w:type="dxa"/>
          </w:tcPr>
          <w:p w14:paraId="38B76EEA" w14:textId="0FAAC394" w:rsidR="003C045B" w:rsidRPr="00EE294E" w:rsidRDefault="003C045B" w:rsidP="003C045B">
            <w:pPr>
              <w:jc w:val="both"/>
              <w:rPr>
                <w:rFonts w:ascii="Times New Roman" w:eastAsia="Calibri" w:hAnsi="Times New Roman" w:cs="Times New Roman"/>
                <w:sz w:val="20"/>
                <w:szCs w:val="20"/>
                <w:lang w:val="it-CH"/>
              </w:rPr>
            </w:pPr>
          </w:p>
        </w:tc>
        <w:tc>
          <w:tcPr>
            <w:tcW w:w="5400" w:type="dxa"/>
            <w:vMerge/>
          </w:tcPr>
          <w:p w14:paraId="7026E63D" w14:textId="4E82EC29" w:rsidR="003C045B" w:rsidRPr="00EE294E" w:rsidRDefault="003C045B" w:rsidP="003C045B">
            <w:pPr>
              <w:jc w:val="both"/>
              <w:rPr>
                <w:rFonts w:ascii="Times New Roman" w:eastAsia="Calibri" w:hAnsi="Times New Roman" w:cs="Times New Roman"/>
                <w:iCs/>
                <w:sz w:val="20"/>
                <w:szCs w:val="20"/>
                <w:lang w:val="it-CH"/>
              </w:rPr>
            </w:pPr>
          </w:p>
        </w:tc>
        <w:tc>
          <w:tcPr>
            <w:tcW w:w="450" w:type="dxa"/>
          </w:tcPr>
          <w:p w14:paraId="6C8670AB" w14:textId="0C12F663" w:rsidR="003C045B" w:rsidRPr="00EE294E" w:rsidRDefault="003C045B" w:rsidP="003C045B">
            <w:pPr>
              <w:rPr>
                <w:rFonts w:ascii="Times New Roman" w:eastAsia="Calibri" w:hAnsi="Times New Roman" w:cs="Times New Roman"/>
                <w:sz w:val="20"/>
                <w:szCs w:val="20"/>
              </w:rPr>
            </w:pPr>
          </w:p>
        </w:tc>
        <w:tc>
          <w:tcPr>
            <w:tcW w:w="644" w:type="dxa"/>
          </w:tcPr>
          <w:p w14:paraId="1B101488" w14:textId="5608B898" w:rsidR="003C045B" w:rsidRPr="00EE294E" w:rsidRDefault="003D7B59" w:rsidP="003C045B">
            <w:pPr>
              <w:rPr>
                <w:rFonts w:ascii="Times New Roman" w:eastAsia="Calibri" w:hAnsi="Times New Roman" w:cs="Times New Roman"/>
                <w:sz w:val="20"/>
                <w:szCs w:val="20"/>
                <w:lang w:val="en-US"/>
              </w:rPr>
            </w:pPr>
            <w:r w:rsidRPr="00EE294E">
              <w:rPr>
                <w:rFonts w:ascii="Times New Roman" w:eastAsia="Calibri" w:hAnsi="Times New Roman" w:cs="Times New Roman"/>
                <w:sz w:val="20"/>
                <w:szCs w:val="20"/>
                <w:lang w:val="en-US"/>
              </w:rPr>
              <w:t>Neni 13</w:t>
            </w:r>
          </w:p>
        </w:tc>
        <w:tc>
          <w:tcPr>
            <w:tcW w:w="5040" w:type="dxa"/>
            <w:tcBorders>
              <w:bottom w:val="dashed" w:sz="4" w:space="0" w:color="auto"/>
            </w:tcBorders>
          </w:tcPr>
          <w:p w14:paraId="4D5EADCB" w14:textId="77777777" w:rsidR="002A7599" w:rsidRPr="00EE294E" w:rsidRDefault="002A7599" w:rsidP="002A7599">
            <w:pPr>
              <w:rPr>
                <w:rFonts w:ascii="Times New Roman" w:eastAsia="Calibri" w:hAnsi="Times New Roman" w:cs="Times New Roman"/>
                <w:sz w:val="20"/>
                <w:szCs w:val="20"/>
              </w:rPr>
            </w:pPr>
            <w:r w:rsidRPr="00EE294E">
              <w:rPr>
                <w:rFonts w:ascii="Times New Roman" w:eastAsia="Calibri" w:hAnsi="Times New Roman" w:cs="Times New Roman"/>
                <w:sz w:val="20"/>
                <w:szCs w:val="20"/>
              </w:rPr>
              <w:t>1.</w:t>
            </w:r>
            <w:r w:rsidRPr="00EE294E">
              <w:rPr>
                <w:rFonts w:ascii="Times New Roman" w:eastAsia="Calibri" w:hAnsi="Times New Roman" w:cs="Times New Roman"/>
                <w:sz w:val="20"/>
                <w:szCs w:val="20"/>
              </w:rPr>
              <w:tab/>
              <w:t>Drejtoria e Përgjithshme e Tatimeve siguron ndërveprimin teknik me CESOP, duke respektuar procedurat e Eurofisc dhe standardet e sigurisë së informacionit.</w:t>
            </w:r>
          </w:p>
          <w:p w14:paraId="443E1BE3" w14:textId="77777777" w:rsidR="002A7599" w:rsidRPr="00EE294E" w:rsidRDefault="002A7599" w:rsidP="002A7599">
            <w:pPr>
              <w:rPr>
                <w:rFonts w:ascii="Times New Roman" w:eastAsia="Calibri" w:hAnsi="Times New Roman" w:cs="Times New Roman"/>
                <w:sz w:val="20"/>
                <w:szCs w:val="20"/>
              </w:rPr>
            </w:pPr>
          </w:p>
          <w:p w14:paraId="1DC0B6D2" w14:textId="77777777" w:rsidR="002A7599" w:rsidRPr="00EE294E" w:rsidRDefault="002A7599" w:rsidP="002A7599">
            <w:pPr>
              <w:rPr>
                <w:rFonts w:ascii="Times New Roman" w:eastAsia="Calibri" w:hAnsi="Times New Roman" w:cs="Times New Roman"/>
                <w:sz w:val="20"/>
                <w:szCs w:val="20"/>
              </w:rPr>
            </w:pPr>
            <w:r w:rsidRPr="00EE294E">
              <w:rPr>
                <w:rFonts w:ascii="Times New Roman" w:eastAsia="Calibri" w:hAnsi="Times New Roman" w:cs="Times New Roman"/>
                <w:sz w:val="20"/>
                <w:szCs w:val="20"/>
              </w:rPr>
              <w:t>2.</w:t>
            </w:r>
            <w:r w:rsidRPr="00EE294E">
              <w:rPr>
                <w:rFonts w:ascii="Times New Roman" w:eastAsia="Calibri" w:hAnsi="Times New Roman" w:cs="Times New Roman"/>
                <w:sz w:val="20"/>
                <w:szCs w:val="20"/>
              </w:rPr>
              <w:tab/>
              <w:t>Të gjitha të dhënat e raportuara dhe të transmetuara mbrohen përmes enkriptimit, nënshkrimit elektronik dhe protokolleve të sigurisë, duke garantuar konfidencialitetin, integritetin dhe disponueshmërinë e tyre.</w:t>
            </w:r>
          </w:p>
          <w:p w14:paraId="05326A96" w14:textId="77777777" w:rsidR="002A7599" w:rsidRPr="00EE294E" w:rsidRDefault="002A7599" w:rsidP="002A7599">
            <w:pPr>
              <w:rPr>
                <w:rFonts w:ascii="Times New Roman" w:eastAsia="Calibri" w:hAnsi="Times New Roman" w:cs="Times New Roman"/>
                <w:sz w:val="20"/>
                <w:szCs w:val="20"/>
              </w:rPr>
            </w:pPr>
          </w:p>
          <w:p w14:paraId="7A2FBD3A" w14:textId="77777777" w:rsidR="002A7599" w:rsidRPr="00EE294E" w:rsidRDefault="002A7599" w:rsidP="002A7599">
            <w:pPr>
              <w:rPr>
                <w:rFonts w:ascii="Times New Roman" w:eastAsia="Calibri" w:hAnsi="Times New Roman" w:cs="Times New Roman"/>
                <w:sz w:val="20"/>
                <w:szCs w:val="20"/>
              </w:rPr>
            </w:pPr>
            <w:r w:rsidRPr="00EE294E">
              <w:rPr>
                <w:rFonts w:ascii="Times New Roman" w:eastAsia="Calibri" w:hAnsi="Times New Roman" w:cs="Times New Roman"/>
                <w:sz w:val="20"/>
                <w:szCs w:val="20"/>
              </w:rPr>
              <w:t>3.</w:t>
            </w:r>
            <w:r w:rsidRPr="00EE294E">
              <w:rPr>
                <w:rFonts w:ascii="Times New Roman" w:eastAsia="Calibri" w:hAnsi="Times New Roman" w:cs="Times New Roman"/>
                <w:sz w:val="20"/>
                <w:szCs w:val="20"/>
              </w:rPr>
              <w:tab/>
              <w:t>Mbikëqyrja e respektimit të rregullave për mbrojtjen e të dhënave personale në zbatim të këtij ligji kryhet nga Komisioneri për Mbrojtjen e të Dhënave Personale, në përputhje me legjislacionin kombëtar dhe Rregulloren (BE) 2016/679 (GDPR).</w:t>
            </w:r>
          </w:p>
          <w:p w14:paraId="147B57E1" w14:textId="77777777" w:rsidR="002A7599" w:rsidRPr="00EE294E" w:rsidRDefault="002A7599" w:rsidP="002A7599">
            <w:pPr>
              <w:rPr>
                <w:rFonts w:ascii="Times New Roman" w:eastAsia="Calibri" w:hAnsi="Times New Roman" w:cs="Times New Roman"/>
                <w:sz w:val="20"/>
                <w:szCs w:val="20"/>
              </w:rPr>
            </w:pPr>
          </w:p>
          <w:p w14:paraId="52F0762E" w14:textId="5AE70550" w:rsidR="003C045B" w:rsidRPr="00EE294E" w:rsidRDefault="002A7599" w:rsidP="002A7599">
            <w:pPr>
              <w:rPr>
                <w:rFonts w:ascii="Times New Roman" w:eastAsia="Calibri" w:hAnsi="Times New Roman" w:cs="Times New Roman"/>
                <w:sz w:val="20"/>
                <w:szCs w:val="20"/>
              </w:rPr>
            </w:pPr>
            <w:r w:rsidRPr="00EE294E">
              <w:rPr>
                <w:rFonts w:ascii="Times New Roman" w:eastAsia="Calibri" w:hAnsi="Times New Roman" w:cs="Times New Roman"/>
                <w:sz w:val="20"/>
                <w:szCs w:val="20"/>
              </w:rPr>
              <w:t>4.</w:t>
            </w:r>
            <w:r w:rsidRPr="00EE294E">
              <w:rPr>
                <w:rFonts w:ascii="Times New Roman" w:eastAsia="Calibri" w:hAnsi="Times New Roman" w:cs="Times New Roman"/>
                <w:sz w:val="20"/>
                <w:szCs w:val="20"/>
              </w:rPr>
              <w:tab/>
              <w:t>Aksesi në të dhënat e mbledhura dhe të transmetuara lejohet vetëm për zyrtarët kompetentë  sipas pikës 2 të nenit 11 të këtij ligji, për qëllimet e përcaktuara në këtë ligj.</w:t>
            </w:r>
          </w:p>
        </w:tc>
        <w:tc>
          <w:tcPr>
            <w:tcW w:w="720" w:type="dxa"/>
            <w:tcBorders>
              <w:bottom w:val="dashed" w:sz="4" w:space="0" w:color="auto"/>
            </w:tcBorders>
          </w:tcPr>
          <w:p w14:paraId="6DF29534" w14:textId="6AB4E7B3" w:rsidR="003C045B" w:rsidRPr="00EE294E" w:rsidRDefault="003C045B" w:rsidP="003C045B">
            <w:pPr>
              <w:jc w:val="center"/>
              <w:rPr>
                <w:rFonts w:ascii="Times New Roman" w:eastAsia="Calibri" w:hAnsi="Times New Roman" w:cs="Times New Roman"/>
                <w:sz w:val="20"/>
                <w:szCs w:val="20"/>
                <w:lang w:val="en-US"/>
              </w:rPr>
            </w:pPr>
            <w:r w:rsidRPr="00EE294E">
              <w:rPr>
                <w:rFonts w:ascii="Times New Roman" w:eastAsia="Calibri" w:hAnsi="Times New Roman" w:cs="Times New Roman"/>
                <w:sz w:val="20"/>
                <w:szCs w:val="20"/>
                <w:lang w:val="en-US"/>
              </w:rPr>
              <w:t>F</w:t>
            </w:r>
          </w:p>
        </w:tc>
        <w:tc>
          <w:tcPr>
            <w:tcW w:w="3510" w:type="dxa"/>
            <w:tcBorders>
              <w:bottom w:val="dashed" w:sz="4" w:space="0" w:color="auto"/>
            </w:tcBorders>
          </w:tcPr>
          <w:p w14:paraId="0D3FD790" w14:textId="62BC323D" w:rsidR="00C72765" w:rsidRPr="00EE294E" w:rsidRDefault="0009621F" w:rsidP="003C045B">
            <w:pPr>
              <w:pBdr>
                <w:top w:val="nil"/>
                <w:left w:val="nil"/>
                <w:bottom w:val="nil"/>
                <w:right w:val="nil"/>
                <w:between w:val="nil"/>
              </w:pBdr>
              <w:spacing w:before="120"/>
              <w:jc w:val="both"/>
              <w:rPr>
                <w:rFonts w:ascii="Times New Roman" w:eastAsia="Times New Roman" w:hAnsi="Times New Roman" w:cs="Times New Roman"/>
                <w:color w:val="000000" w:themeColor="text1"/>
                <w:sz w:val="20"/>
                <w:szCs w:val="20"/>
                <w:lang w:val="en-US"/>
              </w:rPr>
            </w:pPr>
            <w:proofErr w:type="spellStart"/>
            <w:r w:rsidRPr="00EE294E">
              <w:rPr>
                <w:rFonts w:ascii="Times New Roman" w:eastAsia="Times New Roman" w:hAnsi="Times New Roman" w:cs="Times New Roman"/>
                <w:color w:val="000000" w:themeColor="text1"/>
                <w:sz w:val="20"/>
                <w:szCs w:val="20"/>
                <w:lang w:val="en-US"/>
              </w:rPr>
              <w:t>Në</w:t>
            </w:r>
            <w:proofErr w:type="spellEnd"/>
            <w:r w:rsidRPr="00EE294E">
              <w:rPr>
                <w:rFonts w:ascii="Times New Roman" w:eastAsia="Times New Roman" w:hAnsi="Times New Roman" w:cs="Times New Roman"/>
                <w:color w:val="000000" w:themeColor="text1"/>
                <w:sz w:val="20"/>
                <w:szCs w:val="20"/>
                <w:lang w:val="en-US"/>
              </w:rPr>
              <w:t xml:space="preserve"> </w:t>
            </w:r>
            <w:proofErr w:type="spellStart"/>
            <w:r w:rsidRPr="00EE294E">
              <w:rPr>
                <w:rFonts w:ascii="Times New Roman" w:eastAsia="Times New Roman" w:hAnsi="Times New Roman" w:cs="Times New Roman"/>
                <w:color w:val="000000" w:themeColor="text1"/>
                <w:sz w:val="20"/>
                <w:szCs w:val="20"/>
                <w:lang w:val="en-US"/>
              </w:rPr>
              <w:t>përputhje</w:t>
            </w:r>
            <w:proofErr w:type="spellEnd"/>
            <w:r w:rsidRPr="00EE294E">
              <w:rPr>
                <w:rFonts w:ascii="Times New Roman" w:eastAsia="Times New Roman" w:hAnsi="Times New Roman" w:cs="Times New Roman"/>
                <w:color w:val="000000" w:themeColor="text1"/>
                <w:sz w:val="20"/>
                <w:szCs w:val="20"/>
                <w:lang w:val="en-US"/>
              </w:rPr>
              <w:t>.</w:t>
            </w:r>
          </w:p>
          <w:p w14:paraId="21036423" w14:textId="5CF71079" w:rsidR="003C045B" w:rsidRPr="00EE294E" w:rsidRDefault="003C045B" w:rsidP="003C045B">
            <w:pPr>
              <w:pBdr>
                <w:top w:val="nil"/>
                <w:left w:val="nil"/>
                <w:bottom w:val="nil"/>
                <w:right w:val="nil"/>
                <w:between w:val="nil"/>
              </w:pBdr>
              <w:spacing w:before="120"/>
              <w:jc w:val="both"/>
              <w:rPr>
                <w:rFonts w:ascii="Times New Roman" w:eastAsia="Times New Roman" w:hAnsi="Times New Roman" w:cs="Times New Roman"/>
                <w:sz w:val="20"/>
                <w:szCs w:val="20"/>
                <w:lang w:val="en-US"/>
              </w:rPr>
            </w:pPr>
            <w:r w:rsidRPr="00EE294E">
              <w:rPr>
                <w:rFonts w:ascii="Times New Roman" w:eastAsia="Times New Roman" w:hAnsi="Times New Roman" w:cs="Times New Roman"/>
                <w:color w:val="000000" w:themeColor="text1"/>
                <w:sz w:val="20"/>
                <w:szCs w:val="20"/>
                <w:lang w:val="en-US"/>
              </w:rPr>
              <w:t xml:space="preserve"> </w:t>
            </w:r>
            <w:r w:rsidRPr="00EE294E">
              <w:rPr>
                <w:rFonts w:ascii="Times New Roman" w:eastAsia="Times New Roman" w:hAnsi="Times New Roman" w:cs="Times New Roman"/>
                <w:sz w:val="20"/>
                <w:szCs w:val="20"/>
                <w:lang w:val="en-US"/>
              </w:rPr>
              <w:br/>
              <w:t xml:space="preserve">Neni 13 </w:t>
            </w:r>
            <w:proofErr w:type="spellStart"/>
            <w:r w:rsidRPr="00EE294E">
              <w:rPr>
                <w:rFonts w:ascii="Times New Roman" w:eastAsia="Times New Roman" w:hAnsi="Times New Roman" w:cs="Times New Roman"/>
                <w:sz w:val="20"/>
                <w:szCs w:val="20"/>
                <w:lang w:val="en-US"/>
              </w:rPr>
              <w:t>transpozon</w:t>
            </w:r>
            <w:proofErr w:type="spellEnd"/>
            <w:r w:rsidRPr="00EE294E">
              <w:rPr>
                <w:rFonts w:ascii="Times New Roman" w:eastAsia="Times New Roman" w:hAnsi="Times New Roman" w:cs="Times New Roman"/>
                <w:sz w:val="20"/>
                <w:szCs w:val="20"/>
                <w:lang w:val="en-US"/>
              </w:rPr>
              <w:t xml:space="preserve"> </w:t>
            </w:r>
            <w:proofErr w:type="spellStart"/>
            <w:r w:rsidRPr="00EE294E">
              <w:rPr>
                <w:rFonts w:ascii="Times New Roman" w:eastAsia="Times New Roman" w:hAnsi="Times New Roman" w:cs="Times New Roman"/>
                <w:sz w:val="20"/>
                <w:szCs w:val="20"/>
                <w:lang w:val="en-US"/>
              </w:rPr>
              <w:t>kërkesat</w:t>
            </w:r>
            <w:proofErr w:type="spellEnd"/>
            <w:r w:rsidRPr="00EE294E">
              <w:rPr>
                <w:rFonts w:ascii="Times New Roman" w:eastAsia="Times New Roman" w:hAnsi="Times New Roman" w:cs="Times New Roman"/>
                <w:sz w:val="20"/>
                <w:szCs w:val="20"/>
                <w:lang w:val="en-US"/>
              </w:rPr>
              <w:t xml:space="preserve"> e </w:t>
            </w:r>
            <w:proofErr w:type="spellStart"/>
            <w:r w:rsidRPr="00EE294E">
              <w:rPr>
                <w:rFonts w:ascii="Times New Roman" w:eastAsia="Times New Roman" w:hAnsi="Times New Roman" w:cs="Times New Roman"/>
                <w:sz w:val="20"/>
                <w:szCs w:val="20"/>
                <w:lang w:val="en-US"/>
              </w:rPr>
              <w:t>Nenit</w:t>
            </w:r>
            <w:proofErr w:type="spellEnd"/>
            <w:r w:rsidRPr="00EE294E">
              <w:rPr>
                <w:rFonts w:ascii="Times New Roman" w:eastAsia="Times New Roman" w:hAnsi="Times New Roman" w:cs="Times New Roman"/>
                <w:sz w:val="20"/>
                <w:szCs w:val="20"/>
                <w:lang w:val="en-US"/>
              </w:rPr>
              <w:t xml:space="preserve"> 7 </w:t>
            </w:r>
            <w:proofErr w:type="spellStart"/>
            <w:r w:rsidRPr="00EE294E">
              <w:rPr>
                <w:rFonts w:ascii="Times New Roman" w:eastAsia="Times New Roman" w:hAnsi="Times New Roman" w:cs="Times New Roman"/>
                <w:sz w:val="20"/>
                <w:szCs w:val="20"/>
                <w:lang w:val="en-US"/>
              </w:rPr>
              <w:t>të</w:t>
            </w:r>
            <w:proofErr w:type="spellEnd"/>
            <w:r w:rsidRPr="00EE294E">
              <w:rPr>
                <w:rFonts w:ascii="Times New Roman" w:eastAsia="Times New Roman" w:hAnsi="Times New Roman" w:cs="Times New Roman"/>
                <w:sz w:val="20"/>
                <w:szCs w:val="20"/>
                <w:lang w:val="en-US"/>
              </w:rPr>
              <w:t xml:space="preserve"> </w:t>
            </w:r>
            <w:proofErr w:type="spellStart"/>
            <w:r w:rsidRPr="00EE294E">
              <w:rPr>
                <w:rFonts w:ascii="Times New Roman" w:eastAsia="Times New Roman" w:hAnsi="Times New Roman" w:cs="Times New Roman"/>
                <w:sz w:val="20"/>
                <w:szCs w:val="20"/>
                <w:lang w:val="en-US"/>
              </w:rPr>
              <w:t>Rregullores</w:t>
            </w:r>
            <w:proofErr w:type="spellEnd"/>
            <w:r w:rsidRPr="00EE294E">
              <w:rPr>
                <w:rFonts w:ascii="Times New Roman" w:eastAsia="Times New Roman" w:hAnsi="Times New Roman" w:cs="Times New Roman"/>
                <w:sz w:val="20"/>
                <w:szCs w:val="20"/>
                <w:lang w:val="en-US"/>
              </w:rPr>
              <w:t xml:space="preserve"> </w:t>
            </w:r>
            <w:proofErr w:type="spellStart"/>
            <w:r w:rsidRPr="00EE294E">
              <w:rPr>
                <w:rFonts w:ascii="Times New Roman" w:eastAsia="Times New Roman" w:hAnsi="Times New Roman" w:cs="Times New Roman"/>
                <w:sz w:val="20"/>
                <w:szCs w:val="20"/>
                <w:lang w:val="en-US"/>
              </w:rPr>
              <w:t>Zbatuese</w:t>
            </w:r>
            <w:proofErr w:type="spellEnd"/>
            <w:r w:rsidRPr="00EE294E">
              <w:rPr>
                <w:rFonts w:ascii="Times New Roman" w:eastAsia="Times New Roman" w:hAnsi="Times New Roman" w:cs="Times New Roman"/>
                <w:sz w:val="20"/>
                <w:szCs w:val="20"/>
                <w:lang w:val="en-US"/>
              </w:rPr>
              <w:t xml:space="preserve"> (BE) 2022/1504, duke </w:t>
            </w:r>
            <w:proofErr w:type="spellStart"/>
            <w:r w:rsidRPr="00EE294E">
              <w:rPr>
                <w:rFonts w:ascii="Times New Roman" w:eastAsia="Times New Roman" w:hAnsi="Times New Roman" w:cs="Times New Roman"/>
                <w:sz w:val="20"/>
                <w:szCs w:val="20"/>
                <w:lang w:val="en-US"/>
              </w:rPr>
              <w:t>përfshirë</w:t>
            </w:r>
            <w:proofErr w:type="spellEnd"/>
            <w:r w:rsidRPr="00EE294E">
              <w:rPr>
                <w:rFonts w:ascii="Times New Roman" w:eastAsia="Times New Roman" w:hAnsi="Times New Roman" w:cs="Times New Roman"/>
                <w:sz w:val="20"/>
                <w:szCs w:val="20"/>
                <w:lang w:val="en-US"/>
              </w:rPr>
              <w:t>:</w:t>
            </w:r>
          </w:p>
          <w:p w14:paraId="1A2565AA" w14:textId="77777777" w:rsidR="003C045B" w:rsidRPr="00EE294E" w:rsidRDefault="003C045B">
            <w:pPr>
              <w:numPr>
                <w:ilvl w:val="0"/>
                <w:numId w:val="3"/>
              </w:numPr>
              <w:pBdr>
                <w:top w:val="nil"/>
                <w:left w:val="nil"/>
                <w:bottom w:val="nil"/>
                <w:right w:val="nil"/>
                <w:between w:val="nil"/>
              </w:pBdr>
              <w:tabs>
                <w:tab w:val="num" w:pos="720"/>
              </w:tabs>
              <w:spacing w:before="120"/>
              <w:jc w:val="both"/>
              <w:rPr>
                <w:rFonts w:ascii="Times New Roman" w:eastAsia="Times New Roman" w:hAnsi="Times New Roman" w:cs="Times New Roman"/>
                <w:sz w:val="20"/>
                <w:szCs w:val="20"/>
                <w:lang w:val="en-US"/>
              </w:rPr>
            </w:pPr>
            <w:proofErr w:type="spellStart"/>
            <w:r w:rsidRPr="00EE294E">
              <w:rPr>
                <w:rFonts w:ascii="Times New Roman" w:eastAsia="Times New Roman" w:hAnsi="Times New Roman" w:cs="Times New Roman"/>
                <w:sz w:val="20"/>
                <w:szCs w:val="20"/>
                <w:lang w:val="en-US"/>
              </w:rPr>
              <w:t>bashkëveprim</w:t>
            </w:r>
            <w:proofErr w:type="spellEnd"/>
            <w:r w:rsidRPr="00EE294E">
              <w:rPr>
                <w:rFonts w:ascii="Times New Roman" w:eastAsia="Times New Roman" w:hAnsi="Times New Roman" w:cs="Times New Roman"/>
                <w:sz w:val="20"/>
                <w:szCs w:val="20"/>
                <w:lang w:val="en-US"/>
              </w:rPr>
              <w:t xml:space="preserve"> </w:t>
            </w:r>
            <w:proofErr w:type="spellStart"/>
            <w:r w:rsidRPr="00EE294E">
              <w:rPr>
                <w:rFonts w:ascii="Times New Roman" w:eastAsia="Times New Roman" w:hAnsi="Times New Roman" w:cs="Times New Roman"/>
                <w:sz w:val="20"/>
                <w:szCs w:val="20"/>
                <w:lang w:val="en-US"/>
              </w:rPr>
              <w:t>teknik</w:t>
            </w:r>
            <w:proofErr w:type="spellEnd"/>
            <w:r w:rsidRPr="00EE294E">
              <w:rPr>
                <w:rFonts w:ascii="Times New Roman" w:eastAsia="Times New Roman" w:hAnsi="Times New Roman" w:cs="Times New Roman"/>
                <w:sz w:val="20"/>
                <w:szCs w:val="20"/>
                <w:lang w:val="en-US"/>
              </w:rPr>
              <w:t xml:space="preserve"> me CESOP </w:t>
            </w:r>
            <w:proofErr w:type="spellStart"/>
            <w:r w:rsidRPr="00EE294E">
              <w:rPr>
                <w:rFonts w:ascii="Times New Roman" w:eastAsia="Times New Roman" w:hAnsi="Times New Roman" w:cs="Times New Roman"/>
                <w:sz w:val="20"/>
                <w:szCs w:val="20"/>
                <w:lang w:val="en-US"/>
              </w:rPr>
              <w:t>dhe</w:t>
            </w:r>
            <w:proofErr w:type="spellEnd"/>
            <w:r w:rsidRPr="00EE294E">
              <w:rPr>
                <w:rFonts w:ascii="Times New Roman" w:eastAsia="Times New Roman" w:hAnsi="Times New Roman" w:cs="Times New Roman"/>
                <w:sz w:val="20"/>
                <w:szCs w:val="20"/>
                <w:lang w:val="en-US"/>
              </w:rPr>
              <w:t xml:space="preserve"> </w:t>
            </w:r>
            <w:proofErr w:type="spellStart"/>
            <w:r w:rsidRPr="00EE294E">
              <w:rPr>
                <w:rFonts w:ascii="Times New Roman" w:eastAsia="Times New Roman" w:hAnsi="Times New Roman" w:cs="Times New Roman"/>
                <w:sz w:val="20"/>
                <w:szCs w:val="20"/>
                <w:lang w:val="en-US"/>
              </w:rPr>
              <w:t>Eurofisc</w:t>
            </w:r>
            <w:proofErr w:type="spellEnd"/>
            <w:r w:rsidRPr="00EE294E">
              <w:rPr>
                <w:rFonts w:ascii="Times New Roman" w:eastAsia="Times New Roman" w:hAnsi="Times New Roman" w:cs="Times New Roman"/>
                <w:sz w:val="20"/>
                <w:szCs w:val="20"/>
                <w:lang w:val="en-US"/>
              </w:rPr>
              <w:t>,</w:t>
            </w:r>
          </w:p>
          <w:p w14:paraId="27B9E128" w14:textId="77777777" w:rsidR="003C045B" w:rsidRPr="00EE294E" w:rsidRDefault="003C045B">
            <w:pPr>
              <w:numPr>
                <w:ilvl w:val="0"/>
                <w:numId w:val="3"/>
              </w:numPr>
              <w:pBdr>
                <w:top w:val="nil"/>
                <w:left w:val="nil"/>
                <w:bottom w:val="nil"/>
                <w:right w:val="nil"/>
                <w:between w:val="nil"/>
              </w:pBdr>
              <w:tabs>
                <w:tab w:val="num" w:pos="720"/>
              </w:tabs>
              <w:spacing w:before="120"/>
              <w:jc w:val="both"/>
              <w:rPr>
                <w:rFonts w:ascii="Times New Roman" w:eastAsia="Times New Roman" w:hAnsi="Times New Roman" w:cs="Times New Roman"/>
                <w:sz w:val="20"/>
                <w:szCs w:val="20"/>
                <w:lang w:val="it-CH"/>
              </w:rPr>
            </w:pPr>
            <w:r w:rsidRPr="00EE294E">
              <w:rPr>
                <w:rFonts w:ascii="Times New Roman" w:eastAsia="Times New Roman" w:hAnsi="Times New Roman" w:cs="Times New Roman"/>
                <w:sz w:val="20"/>
                <w:szCs w:val="20"/>
                <w:lang w:val="it-CH"/>
              </w:rPr>
              <w:t>garantimi i sigurisë së informacionit (konfidencialiteti, integriteti, disponueshmëria),</w:t>
            </w:r>
          </w:p>
          <w:p w14:paraId="20FF906D" w14:textId="77777777" w:rsidR="003C045B" w:rsidRPr="00EE294E" w:rsidRDefault="003C045B">
            <w:pPr>
              <w:numPr>
                <w:ilvl w:val="0"/>
                <w:numId w:val="3"/>
              </w:numPr>
              <w:pBdr>
                <w:top w:val="nil"/>
                <w:left w:val="nil"/>
                <w:bottom w:val="nil"/>
                <w:right w:val="nil"/>
                <w:between w:val="nil"/>
              </w:pBdr>
              <w:tabs>
                <w:tab w:val="num" w:pos="720"/>
              </w:tabs>
              <w:spacing w:before="120"/>
              <w:jc w:val="both"/>
              <w:rPr>
                <w:rFonts w:ascii="Times New Roman" w:eastAsia="Times New Roman" w:hAnsi="Times New Roman" w:cs="Times New Roman"/>
                <w:sz w:val="20"/>
                <w:szCs w:val="20"/>
                <w:lang w:val="it-CH"/>
              </w:rPr>
            </w:pPr>
            <w:r w:rsidRPr="00EE294E">
              <w:rPr>
                <w:rFonts w:ascii="Times New Roman" w:eastAsia="Times New Roman" w:hAnsi="Times New Roman" w:cs="Times New Roman"/>
                <w:sz w:val="20"/>
                <w:szCs w:val="20"/>
                <w:lang w:val="it-CH"/>
              </w:rPr>
              <w:t>mbikëqyrje nga autoriteti kombëtar i mbrojtjes së të dhënave,</w:t>
            </w:r>
          </w:p>
          <w:p w14:paraId="075477B9" w14:textId="68E0430C" w:rsidR="003C045B" w:rsidRPr="00EE294E" w:rsidRDefault="003C045B">
            <w:pPr>
              <w:numPr>
                <w:ilvl w:val="0"/>
                <w:numId w:val="3"/>
              </w:numPr>
              <w:pBdr>
                <w:top w:val="nil"/>
                <w:left w:val="nil"/>
                <w:bottom w:val="nil"/>
                <w:right w:val="nil"/>
                <w:between w:val="nil"/>
              </w:pBdr>
              <w:tabs>
                <w:tab w:val="num" w:pos="720"/>
              </w:tabs>
              <w:spacing w:before="120"/>
              <w:jc w:val="both"/>
              <w:rPr>
                <w:rFonts w:ascii="Times New Roman" w:eastAsia="Times New Roman" w:hAnsi="Times New Roman" w:cs="Times New Roman"/>
                <w:sz w:val="20"/>
                <w:szCs w:val="20"/>
                <w:lang w:val="it-CH"/>
              </w:rPr>
            </w:pPr>
            <w:r w:rsidRPr="00EE294E">
              <w:rPr>
                <w:rFonts w:ascii="Times New Roman" w:eastAsia="Times New Roman" w:hAnsi="Times New Roman" w:cs="Times New Roman"/>
                <w:sz w:val="20"/>
                <w:szCs w:val="20"/>
                <w:lang w:val="it-CH"/>
              </w:rPr>
              <w:t>dhe kufizimin e aksesit vetëm për zyrtarët e autorizuar.</w:t>
            </w:r>
          </w:p>
          <w:p w14:paraId="0E52EB92" w14:textId="72E6EF2F" w:rsidR="003C045B" w:rsidRPr="00EE294E" w:rsidRDefault="003C045B" w:rsidP="003C045B">
            <w:pPr>
              <w:tabs>
                <w:tab w:val="left" w:pos="1425"/>
              </w:tabs>
              <w:rPr>
                <w:rFonts w:ascii="Times New Roman" w:eastAsia="Calibri" w:hAnsi="Times New Roman" w:cs="Times New Roman"/>
                <w:sz w:val="20"/>
                <w:szCs w:val="20"/>
                <w:lang w:val="it-CH"/>
              </w:rPr>
            </w:pPr>
          </w:p>
        </w:tc>
      </w:tr>
      <w:tr w:rsidR="003C045B" w:rsidRPr="00EE294E" w14:paraId="0355879C" w14:textId="77777777" w:rsidTr="00990A3C">
        <w:tc>
          <w:tcPr>
            <w:tcW w:w="540" w:type="dxa"/>
            <w:shd w:val="clear" w:color="auto" w:fill="D0CECE" w:themeFill="background2" w:themeFillShade="E6"/>
          </w:tcPr>
          <w:p w14:paraId="0ED479F4" w14:textId="77777777" w:rsidR="003C045B" w:rsidRPr="00EE294E" w:rsidRDefault="003C045B" w:rsidP="003C045B">
            <w:pPr>
              <w:jc w:val="center"/>
              <w:rPr>
                <w:rFonts w:ascii="Times New Roman" w:eastAsia="Calibri" w:hAnsi="Times New Roman" w:cs="Times New Roman"/>
                <w:i/>
                <w:iCs/>
                <w:sz w:val="20"/>
                <w:szCs w:val="20"/>
                <w:lang w:val="it-CH"/>
              </w:rPr>
            </w:pPr>
          </w:p>
        </w:tc>
        <w:tc>
          <w:tcPr>
            <w:tcW w:w="5400" w:type="dxa"/>
            <w:shd w:val="clear" w:color="auto" w:fill="D0CECE" w:themeFill="background2" w:themeFillShade="E6"/>
          </w:tcPr>
          <w:p w14:paraId="42E0F0F4" w14:textId="777D0E83" w:rsidR="003C045B" w:rsidRPr="00EE294E" w:rsidRDefault="003C045B" w:rsidP="003C045B">
            <w:pPr>
              <w:pStyle w:val="oj-ti-art"/>
              <w:shd w:val="clear" w:color="auto" w:fill="FFFFFF"/>
              <w:spacing w:before="360" w:beforeAutospacing="0" w:after="120" w:afterAutospacing="0"/>
              <w:jc w:val="center"/>
              <w:rPr>
                <w:i/>
                <w:iCs/>
                <w:color w:val="333333"/>
                <w:sz w:val="20"/>
                <w:szCs w:val="20"/>
              </w:rPr>
            </w:pPr>
            <w:r w:rsidRPr="00EE294E">
              <w:rPr>
                <w:i/>
                <w:iCs/>
                <w:color w:val="333333"/>
                <w:sz w:val="20"/>
                <w:szCs w:val="20"/>
              </w:rPr>
              <w:t xml:space="preserve">Neni 273 </w:t>
            </w:r>
            <w:r w:rsidRPr="00EE294E">
              <w:rPr>
                <w:rStyle w:val="Strong"/>
                <w:rFonts w:eastAsia="Calibri"/>
                <w:b w:val="0"/>
                <w:bCs w:val="0"/>
                <w:i/>
                <w:iCs/>
                <w:sz w:val="20"/>
                <w:szCs w:val="20"/>
              </w:rPr>
              <w:t>i Direktivës 2006/112/KE</w:t>
            </w:r>
          </w:p>
          <w:p w14:paraId="08573EAA" w14:textId="27FE1A80" w:rsidR="003C045B" w:rsidRPr="00EE294E" w:rsidRDefault="003C045B" w:rsidP="003C045B">
            <w:pPr>
              <w:pStyle w:val="Heading1"/>
              <w:rPr>
                <w:rFonts w:ascii="Times New Roman" w:eastAsia="Calibri" w:hAnsi="Times New Roman" w:cs="Times New Roman"/>
                <w:i/>
                <w:iCs/>
                <w:color w:val="auto"/>
                <w:sz w:val="20"/>
                <w:szCs w:val="20"/>
                <w:lang w:val="en-US"/>
              </w:rPr>
            </w:pPr>
          </w:p>
        </w:tc>
        <w:tc>
          <w:tcPr>
            <w:tcW w:w="450" w:type="dxa"/>
            <w:shd w:val="clear" w:color="auto" w:fill="D0CECE" w:themeFill="background2" w:themeFillShade="E6"/>
          </w:tcPr>
          <w:p w14:paraId="0C241C0A" w14:textId="77777777" w:rsidR="003C045B" w:rsidRPr="00EE294E" w:rsidRDefault="003C045B" w:rsidP="003C045B">
            <w:pPr>
              <w:jc w:val="center"/>
              <w:rPr>
                <w:rFonts w:ascii="Times New Roman" w:eastAsia="Calibri" w:hAnsi="Times New Roman" w:cs="Times New Roman"/>
                <w:i/>
                <w:iCs/>
                <w:sz w:val="20"/>
                <w:szCs w:val="20"/>
              </w:rPr>
            </w:pPr>
          </w:p>
        </w:tc>
        <w:tc>
          <w:tcPr>
            <w:tcW w:w="644" w:type="dxa"/>
            <w:shd w:val="clear" w:color="auto" w:fill="D0CECE" w:themeFill="background2" w:themeFillShade="E6"/>
          </w:tcPr>
          <w:p w14:paraId="5B382756" w14:textId="5BEF7338" w:rsidR="003C045B" w:rsidRPr="00EE294E" w:rsidRDefault="003C045B" w:rsidP="003C045B">
            <w:pPr>
              <w:jc w:val="center"/>
              <w:rPr>
                <w:rFonts w:ascii="Times New Roman" w:eastAsia="Calibri" w:hAnsi="Times New Roman" w:cs="Times New Roman"/>
                <w:i/>
                <w:iCs/>
                <w:sz w:val="20"/>
                <w:szCs w:val="20"/>
                <w:lang w:val="en-US"/>
              </w:rPr>
            </w:pPr>
          </w:p>
        </w:tc>
        <w:tc>
          <w:tcPr>
            <w:tcW w:w="5040" w:type="dxa"/>
            <w:shd w:val="clear" w:color="auto" w:fill="D0CECE" w:themeFill="background2" w:themeFillShade="E6"/>
          </w:tcPr>
          <w:p w14:paraId="52F55B4A" w14:textId="7CBE9258" w:rsidR="002A7599" w:rsidRPr="00EE294E" w:rsidRDefault="002A7599" w:rsidP="002A7599">
            <w:pPr>
              <w:jc w:val="center"/>
              <w:rPr>
                <w:rFonts w:ascii="Times New Roman" w:eastAsia="Calibri" w:hAnsi="Times New Roman" w:cs="Times New Roman"/>
                <w:sz w:val="20"/>
                <w:szCs w:val="20"/>
              </w:rPr>
            </w:pPr>
          </w:p>
          <w:p w14:paraId="3FBE214D" w14:textId="77777777" w:rsidR="002A7599" w:rsidRPr="00EE294E" w:rsidRDefault="002A7599" w:rsidP="002A7599">
            <w:pPr>
              <w:jc w:val="center"/>
              <w:rPr>
                <w:rFonts w:ascii="Times New Roman" w:eastAsia="Calibri" w:hAnsi="Times New Roman" w:cs="Times New Roman"/>
                <w:b/>
                <w:bCs/>
                <w:sz w:val="20"/>
                <w:szCs w:val="20"/>
              </w:rPr>
            </w:pPr>
            <w:r w:rsidRPr="00EE294E">
              <w:rPr>
                <w:rFonts w:ascii="Times New Roman" w:eastAsia="Calibri" w:hAnsi="Times New Roman" w:cs="Times New Roman"/>
                <w:b/>
                <w:bCs/>
                <w:sz w:val="20"/>
                <w:szCs w:val="20"/>
              </w:rPr>
              <w:t>Neni 14</w:t>
            </w:r>
          </w:p>
          <w:p w14:paraId="1449F832" w14:textId="7C106E85" w:rsidR="003C045B" w:rsidRPr="00EE294E" w:rsidRDefault="002A7599" w:rsidP="002A7599">
            <w:pPr>
              <w:jc w:val="center"/>
              <w:rPr>
                <w:rFonts w:ascii="Times New Roman" w:eastAsia="Calibri" w:hAnsi="Times New Roman" w:cs="Times New Roman"/>
                <w:i/>
                <w:iCs/>
                <w:sz w:val="20"/>
                <w:szCs w:val="20"/>
              </w:rPr>
            </w:pPr>
            <w:r w:rsidRPr="00EE294E">
              <w:rPr>
                <w:rFonts w:ascii="Times New Roman" w:eastAsia="Calibri" w:hAnsi="Times New Roman" w:cs="Times New Roman"/>
                <w:b/>
                <w:bCs/>
                <w:sz w:val="20"/>
                <w:szCs w:val="20"/>
              </w:rPr>
              <w:t>Kundërvajtjet administrative dhe sanksionet</w:t>
            </w:r>
          </w:p>
        </w:tc>
        <w:tc>
          <w:tcPr>
            <w:tcW w:w="720" w:type="dxa"/>
            <w:shd w:val="clear" w:color="auto" w:fill="D0CECE" w:themeFill="background2" w:themeFillShade="E6"/>
          </w:tcPr>
          <w:p w14:paraId="74C3437E" w14:textId="77777777" w:rsidR="003C045B" w:rsidRPr="00EE294E" w:rsidRDefault="003C045B" w:rsidP="003C045B">
            <w:pPr>
              <w:jc w:val="center"/>
              <w:rPr>
                <w:rFonts w:ascii="Times New Roman" w:eastAsia="Calibri" w:hAnsi="Times New Roman" w:cs="Times New Roman"/>
                <w:i/>
                <w:iCs/>
                <w:sz w:val="20"/>
                <w:szCs w:val="20"/>
                <w:lang w:val="en-US"/>
              </w:rPr>
            </w:pPr>
          </w:p>
        </w:tc>
        <w:tc>
          <w:tcPr>
            <w:tcW w:w="3510" w:type="dxa"/>
            <w:shd w:val="clear" w:color="auto" w:fill="D0CECE" w:themeFill="background2" w:themeFillShade="E6"/>
          </w:tcPr>
          <w:p w14:paraId="020134DC" w14:textId="77777777" w:rsidR="003C045B" w:rsidRPr="00EE294E" w:rsidRDefault="003C045B" w:rsidP="003C045B">
            <w:pPr>
              <w:rPr>
                <w:rFonts w:ascii="Times New Roman" w:eastAsia="Calibri" w:hAnsi="Times New Roman" w:cs="Times New Roman"/>
                <w:i/>
                <w:iCs/>
                <w:sz w:val="20"/>
                <w:szCs w:val="20"/>
                <w:lang w:val="en-US"/>
              </w:rPr>
            </w:pPr>
          </w:p>
        </w:tc>
      </w:tr>
      <w:tr w:rsidR="003C045B" w:rsidRPr="00EE294E" w14:paraId="07041DF6" w14:textId="77777777" w:rsidTr="004738EE">
        <w:tc>
          <w:tcPr>
            <w:tcW w:w="540" w:type="dxa"/>
            <w:shd w:val="clear" w:color="auto" w:fill="F2F2F2"/>
          </w:tcPr>
          <w:p w14:paraId="03401B2F" w14:textId="77777777" w:rsidR="003C045B" w:rsidRPr="00EE294E" w:rsidRDefault="003C045B" w:rsidP="003C045B">
            <w:pPr>
              <w:jc w:val="center"/>
              <w:rPr>
                <w:rFonts w:ascii="Times New Roman" w:eastAsia="Calibri" w:hAnsi="Times New Roman" w:cs="Times New Roman"/>
                <w:i/>
                <w:sz w:val="20"/>
                <w:szCs w:val="20"/>
                <w:lang w:val="en-US"/>
              </w:rPr>
            </w:pPr>
          </w:p>
        </w:tc>
        <w:tc>
          <w:tcPr>
            <w:tcW w:w="5400" w:type="dxa"/>
            <w:shd w:val="clear" w:color="auto" w:fill="F2F2F2"/>
          </w:tcPr>
          <w:p w14:paraId="7C89E196" w14:textId="77777777" w:rsidR="003C045B" w:rsidRPr="00EE294E" w:rsidRDefault="003C045B" w:rsidP="003C045B">
            <w:pPr>
              <w:pStyle w:val="oj-normal"/>
              <w:shd w:val="clear" w:color="auto" w:fill="FFFFFF"/>
              <w:spacing w:before="120" w:beforeAutospacing="0" w:after="0" w:afterAutospacing="0"/>
              <w:jc w:val="both"/>
              <w:rPr>
                <w:color w:val="333333"/>
                <w:sz w:val="20"/>
                <w:szCs w:val="20"/>
              </w:rPr>
            </w:pPr>
            <w:r w:rsidRPr="00EE294E">
              <w:rPr>
                <w:color w:val="333333"/>
                <w:sz w:val="20"/>
                <w:szCs w:val="20"/>
              </w:rPr>
              <w:t>Shtetet Anëtare mund të vendosin detyrime të tjera që i konsiderojnë të nevojshme për të siguruar mbledhjen e saktë të TVSH-së dhe për të parandaluar evazionin, në varësi të kërkesës së trajtimit të barabartë midis transaksioneve të brendshme dhe transaksioneve të kryera midis Shteteve Anëtare nga personat e tatueshëm dhe me kusht që detyrime të tilla, në tregtinë midis Shteteve Anëtare, të mos shkaktojnë formalitete që lidhen me kalimin e kufijve.</w:t>
            </w:r>
          </w:p>
          <w:p w14:paraId="50A03AB1" w14:textId="77777777" w:rsidR="003C045B" w:rsidRPr="00EE294E" w:rsidRDefault="003C045B" w:rsidP="003C045B">
            <w:pPr>
              <w:pStyle w:val="oj-normal"/>
              <w:shd w:val="clear" w:color="auto" w:fill="FFFFFF"/>
              <w:spacing w:before="120" w:beforeAutospacing="0" w:after="0" w:afterAutospacing="0"/>
              <w:jc w:val="both"/>
              <w:rPr>
                <w:color w:val="333333"/>
                <w:sz w:val="20"/>
                <w:szCs w:val="20"/>
              </w:rPr>
            </w:pPr>
            <w:r w:rsidRPr="00EE294E">
              <w:rPr>
                <w:color w:val="333333"/>
                <w:sz w:val="20"/>
                <w:szCs w:val="20"/>
              </w:rPr>
              <w:t>Opsioni sipas paragrafit të parë nuk mund të përdoret për të vendosur detyrime shtesë faturimi përveç atyre të përcaktuara në Kapitullin 3.</w:t>
            </w:r>
          </w:p>
          <w:p w14:paraId="4D5F8454" w14:textId="7DEF9FBD" w:rsidR="003C045B" w:rsidRPr="00EE294E" w:rsidRDefault="003C045B" w:rsidP="003C045B">
            <w:pPr>
              <w:pStyle w:val="Heading2"/>
              <w:rPr>
                <w:rFonts w:ascii="Times New Roman" w:eastAsia="Calibri" w:hAnsi="Times New Roman" w:cs="Times New Roman"/>
                <w:iCs/>
                <w:color w:val="auto"/>
                <w:sz w:val="20"/>
                <w:szCs w:val="20"/>
              </w:rPr>
            </w:pPr>
          </w:p>
        </w:tc>
        <w:tc>
          <w:tcPr>
            <w:tcW w:w="450" w:type="dxa"/>
          </w:tcPr>
          <w:p w14:paraId="20E57A6E" w14:textId="77777777" w:rsidR="003C045B" w:rsidRPr="00EE294E" w:rsidRDefault="003C045B" w:rsidP="003C045B">
            <w:pPr>
              <w:jc w:val="center"/>
              <w:rPr>
                <w:rFonts w:ascii="Times New Roman" w:eastAsia="Calibri" w:hAnsi="Times New Roman" w:cs="Times New Roman"/>
                <w:i/>
                <w:sz w:val="20"/>
                <w:szCs w:val="20"/>
              </w:rPr>
            </w:pPr>
          </w:p>
        </w:tc>
        <w:tc>
          <w:tcPr>
            <w:tcW w:w="644" w:type="dxa"/>
            <w:shd w:val="clear" w:color="auto" w:fill="F2F2F2"/>
          </w:tcPr>
          <w:p w14:paraId="7BD59961" w14:textId="4441B9F9" w:rsidR="003C045B" w:rsidRPr="00EE294E" w:rsidRDefault="003D7B59" w:rsidP="003C045B">
            <w:pPr>
              <w:jc w:val="center"/>
              <w:rPr>
                <w:rFonts w:ascii="Times New Roman" w:eastAsia="Calibri" w:hAnsi="Times New Roman" w:cs="Times New Roman"/>
                <w:iCs/>
                <w:sz w:val="20"/>
                <w:szCs w:val="20"/>
                <w:lang w:val="en-US"/>
              </w:rPr>
            </w:pPr>
            <w:r w:rsidRPr="00EE294E">
              <w:rPr>
                <w:rFonts w:ascii="Times New Roman" w:eastAsia="Calibri" w:hAnsi="Times New Roman" w:cs="Times New Roman"/>
                <w:iCs/>
                <w:sz w:val="20"/>
                <w:szCs w:val="20"/>
                <w:lang w:val="en-US"/>
              </w:rPr>
              <w:t>Neni 14</w:t>
            </w:r>
          </w:p>
        </w:tc>
        <w:tc>
          <w:tcPr>
            <w:tcW w:w="5040" w:type="dxa"/>
            <w:shd w:val="clear" w:color="auto" w:fill="F2F2F2"/>
          </w:tcPr>
          <w:p w14:paraId="0395506B" w14:textId="512B68CC" w:rsidR="002A7599" w:rsidRPr="00EE294E" w:rsidRDefault="002A7599" w:rsidP="002A7599">
            <w:pPr>
              <w:spacing w:line="276" w:lineRule="auto"/>
              <w:jc w:val="both"/>
              <w:rPr>
                <w:rFonts w:ascii="Times New Roman" w:eastAsia="Calibri" w:hAnsi="Times New Roman" w:cs="Times New Roman"/>
                <w:iCs/>
                <w:sz w:val="20"/>
                <w:szCs w:val="20"/>
              </w:rPr>
            </w:pPr>
            <w:r w:rsidRPr="00EE294E">
              <w:rPr>
                <w:rFonts w:ascii="Times New Roman" w:eastAsia="Calibri" w:hAnsi="Times New Roman" w:cs="Times New Roman"/>
                <w:iCs/>
                <w:sz w:val="20"/>
                <w:szCs w:val="20"/>
              </w:rPr>
              <w:t>1.</w:t>
            </w:r>
            <w:r w:rsidRPr="00EE294E">
              <w:rPr>
                <w:rFonts w:ascii="Times New Roman" w:eastAsia="Calibri" w:hAnsi="Times New Roman" w:cs="Times New Roman"/>
                <w:iCs/>
                <w:sz w:val="20"/>
                <w:szCs w:val="20"/>
              </w:rPr>
              <w:tab/>
              <w:t>Veprimet ose mosveprimet e kryera nga ofruesit e shërbimeve të pagesave të cilat bien ndesh me detyrimet e parashikuara në këtë ligj konsiderohen kundërvajtje administrative dhe dënohen me gjobë si më poshtë:</w:t>
            </w:r>
          </w:p>
          <w:p w14:paraId="123ACF32" w14:textId="77777777" w:rsidR="002A7599" w:rsidRPr="00EE294E" w:rsidRDefault="002A7599" w:rsidP="002A7599">
            <w:pPr>
              <w:spacing w:line="276" w:lineRule="auto"/>
              <w:jc w:val="both"/>
              <w:rPr>
                <w:rFonts w:ascii="Times New Roman" w:eastAsia="Calibri" w:hAnsi="Times New Roman" w:cs="Times New Roman"/>
                <w:iCs/>
                <w:sz w:val="20"/>
                <w:szCs w:val="20"/>
              </w:rPr>
            </w:pPr>
          </w:p>
          <w:p w14:paraId="752B7F16" w14:textId="77777777" w:rsidR="002A7599" w:rsidRPr="00EE294E" w:rsidRDefault="002A7599" w:rsidP="002A7599">
            <w:pPr>
              <w:spacing w:line="276" w:lineRule="auto"/>
              <w:jc w:val="both"/>
              <w:rPr>
                <w:rFonts w:ascii="Times New Roman" w:eastAsia="Calibri" w:hAnsi="Times New Roman" w:cs="Times New Roman"/>
                <w:iCs/>
                <w:sz w:val="20"/>
                <w:szCs w:val="20"/>
              </w:rPr>
            </w:pPr>
            <w:r w:rsidRPr="00EE294E">
              <w:rPr>
                <w:rFonts w:ascii="Times New Roman" w:eastAsia="Calibri" w:hAnsi="Times New Roman" w:cs="Times New Roman"/>
                <w:iCs/>
                <w:sz w:val="20"/>
                <w:szCs w:val="20"/>
              </w:rPr>
              <w:t xml:space="preserve">a) Mosdorëzimi në afat i informacionit të detyrueshëm për t’u raportuar sipas këtij ligji dënohet me gjobë________ </w:t>
            </w:r>
          </w:p>
          <w:p w14:paraId="20B76B9A" w14:textId="77777777" w:rsidR="002A7599" w:rsidRPr="00EE294E" w:rsidRDefault="002A7599" w:rsidP="002A7599">
            <w:pPr>
              <w:spacing w:line="276" w:lineRule="auto"/>
              <w:jc w:val="both"/>
              <w:rPr>
                <w:rFonts w:ascii="Times New Roman" w:eastAsia="Calibri" w:hAnsi="Times New Roman" w:cs="Times New Roman"/>
                <w:iCs/>
                <w:sz w:val="20"/>
                <w:szCs w:val="20"/>
              </w:rPr>
            </w:pPr>
          </w:p>
          <w:p w14:paraId="37A7A91F" w14:textId="77777777" w:rsidR="002A7599" w:rsidRPr="00EE294E" w:rsidRDefault="002A7599" w:rsidP="002A7599">
            <w:pPr>
              <w:spacing w:line="276" w:lineRule="auto"/>
              <w:jc w:val="both"/>
              <w:rPr>
                <w:rFonts w:ascii="Times New Roman" w:eastAsia="Calibri" w:hAnsi="Times New Roman" w:cs="Times New Roman"/>
                <w:iCs/>
                <w:sz w:val="20"/>
                <w:szCs w:val="20"/>
              </w:rPr>
            </w:pPr>
            <w:r w:rsidRPr="00EE294E">
              <w:rPr>
                <w:rFonts w:ascii="Times New Roman" w:eastAsia="Calibri" w:hAnsi="Times New Roman" w:cs="Times New Roman"/>
                <w:iCs/>
                <w:sz w:val="20"/>
                <w:szCs w:val="20"/>
              </w:rPr>
              <w:t>b) Dorëzimi i pasaktë, i paplotë ose i pavlefshëm i informacionit të detyrueshëm për t’u raportuar, dënohet me gjobë__________</w:t>
            </w:r>
          </w:p>
          <w:p w14:paraId="360FCA40" w14:textId="77777777" w:rsidR="002A7599" w:rsidRPr="00EE294E" w:rsidRDefault="002A7599" w:rsidP="002A7599">
            <w:pPr>
              <w:spacing w:line="276" w:lineRule="auto"/>
              <w:jc w:val="both"/>
              <w:rPr>
                <w:rFonts w:ascii="Times New Roman" w:eastAsia="Calibri" w:hAnsi="Times New Roman" w:cs="Times New Roman"/>
                <w:iCs/>
                <w:sz w:val="20"/>
                <w:szCs w:val="20"/>
              </w:rPr>
            </w:pPr>
            <w:r w:rsidRPr="00EE294E">
              <w:rPr>
                <w:rFonts w:ascii="Times New Roman" w:eastAsia="Calibri" w:hAnsi="Times New Roman" w:cs="Times New Roman"/>
                <w:iCs/>
                <w:sz w:val="20"/>
                <w:szCs w:val="20"/>
              </w:rPr>
              <w:t>c) Mosruajtja e regjistrave dhe evidencave të CESOP për një periudhë trevjeçare pas përfundimit të vitit kalendarik të transaksionit, dënohet me gjobë¬¬¬¬________________</w:t>
            </w:r>
          </w:p>
          <w:p w14:paraId="16CED7BD" w14:textId="77777777" w:rsidR="002A7599" w:rsidRPr="00EE294E" w:rsidRDefault="002A7599" w:rsidP="002A7599">
            <w:pPr>
              <w:spacing w:line="276" w:lineRule="auto"/>
              <w:jc w:val="both"/>
              <w:rPr>
                <w:rFonts w:ascii="Times New Roman" w:eastAsia="Calibri" w:hAnsi="Times New Roman" w:cs="Times New Roman"/>
                <w:iCs/>
                <w:sz w:val="20"/>
                <w:szCs w:val="20"/>
              </w:rPr>
            </w:pPr>
          </w:p>
          <w:p w14:paraId="18372303" w14:textId="77777777" w:rsidR="002A7599" w:rsidRPr="00EE294E" w:rsidRDefault="002A7599" w:rsidP="002A7599">
            <w:pPr>
              <w:spacing w:line="276" w:lineRule="auto"/>
              <w:jc w:val="both"/>
              <w:rPr>
                <w:rFonts w:ascii="Times New Roman" w:eastAsia="Calibri" w:hAnsi="Times New Roman" w:cs="Times New Roman"/>
                <w:iCs/>
                <w:sz w:val="20"/>
                <w:szCs w:val="20"/>
              </w:rPr>
            </w:pPr>
            <w:r w:rsidRPr="00EE294E">
              <w:rPr>
                <w:rFonts w:ascii="Times New Roman" w:eastAsia="Calibri" w:hAnsi="Times New Roman" w:cs="Times New Roman"/>
                <w:iCs/>
                <w:sz w:val="20"/>
                <w:szCs w:val="20"/>
              </w:rPr>
              <w:t>2.</w:t>
            </w:r>
            <w:r w:rsidRPr="00EE294E">
              <w:rPr>
                <w:rFonts w:ascii="Times New Roman" w:eastAsia="Calibri" w:hAnsi="Times New Roman" w:cs="Times New Roman"/>
                <w:iCs/>
                <w:sz w:val="20"/>
                <w:szCs w:val="20"/>
              </w:rPr>
              <w:tab/>
              <w:t>Në rast të shkeljeve të përsëritura masat e gjobave sipas pikës 1 të këtij neni dyfishohen.</w:t>
            </w:r>
          </w:p>
          <w:p w14:paraId="1646EA28" w14:textId="77777777" w:rsidR="002A7599" w:rsidRPr="00EE294E" w:rsidRDefault="002A7599" w:rsidP="002A7599">
            <w:pPr>
              <w:spacing w:line="276" w:lineRule="auto"/>
              <w:jc w:val="both"/>
              <w:rPr>
                <w:rFonts w:ascii="Times New Roman" w:eastAsia="Calibri" w:hAnsi="Times New Roman" w:cs="Times New Roman"/>
                <w:iCs/>
                <w:sz w:val="20"/>
                <w:szCs w:val="20"/>
              </w:rPr>
            </w:pPr>
          </w:p>
          <w:p w14:paraId="3991BF9F" w14:textId="77777777" w:rsidR="002A7599" w:rsidRPr="00EE294E" w:rsidRDefault="002A7599" w:rsidP="002A7599">
            <w:pPr>
              <w:spacing w:line="276" w:lineRule="auto"/>
              <w:jc w:val="both"/>
              <w:rPr>
                <w:rFonts w:ascii="Times New Roman" w:eastAsia="Calibri" w:hAnsi="Times New Roman" w:cs="Times New Roman"/>
                <w:iCs/>
                <w:sz w:val="20"/>
                <w:szCs w:val="20"/>
              </w:rPr>
            </w:pPr>
            <w:r w:rsidRPr="00EE294E">
              <w:rPr>
                <w:rFonts w:ascii="Times New Roman" w:eastAsia="Calibri" w:hAnsi="Times New Roman" w:cs="Times New Roman"/>
                <w:iCs/>
                <w:sz w:val="20"/>
                <w:szCs w:val="20"/>
              </w:rPr>
              <w:t>3.</w:t>
            </w:r>
            <w:r w:rsidRPr="00EE294E">
              <w:rPr>
                <w:rFonts w:ascii="Times New Roman" w:eastAsia="Calibri" w:hAnsi="Times New Roman" w:cs="Times New Roman"/>
                <w:iCs/>
                <w:sz w:val="20"/>
                <w:szCs w:val="20"/>
              </w:rPr>
              <w:tab/>
              <w:t xml:space="preserve">Në rast të shkeljeve me pasoja të rënda për saktësinë ose përputhshmërinë e të dhënave, administrata tatimore mund të propozojë pranë autoritetit licencues pezullimin e </w:t>
            </w:r>
            <w:r w:rsidRPr="00EE294E">
              <w:rPr>
                <w:rFonts w:ascii="Times New Roman" w:eastAsia="Calibri" w:hAnsi="Times New Roman" w:cs="Times New Roman"/>
                <w:iCs/>
                <w:sz w:val="20"/>
                <w:szCs w:val="20"/>
              </w:rPr>
              <w:lastRenderedPageBreak/>
              <w:t>përkohshëm të licencës së ofruesit të shërbimeve të pagesave, deri në përmbushjen e detyrimeve ligjore.</w:t>
            </w:r>
          </w:p>
          <w:p w14:paraId="27710E5B" w14:textId="4D1447A9" w:rsidR="002A7599" w:rsidRPr="00EE294E" w:rsidRDefault="002A7599" w:rsidP="002A7599">
            <w:pPr>
              <w:spacing w:line="276" w:lineRule="auto"/>
              <w:jc w:val="both"/>
              <w:rPr>
                <w:rFonts w:ascii="Times New Roman" w:eastAsia="Calibri" w:hAnsi="Times New Roman" w:cs="Times New Roman"/>
                <w:iCs/>
                <w:sz w:val="20"/>
                <w:szCs w:val="20"/>
              </w:rPr>
            </w:pPr>
            <w:r w:rsidRPr="00EE294E">
              <w:rPr>
                <w:rFonts w:ascii="Times New Roman" w:eastAsia="Calibri" w:hAnsi="Times New Roman" w:cs="Times New Roman"/>
                <w:iCs/>
                <w:sz w:val="20"/>
                <w:szCs w:val="20"/>
              </w:rPr>
              <w:t>4.</w:t>
            </w:r>
            <w:r w:rsidRPr="00EE294E">
              <w:rPr>
                <w:rFonts w:ascii="Times New Roman" w:eastAsia="Calibri" w:hAnsi="Times New Roman" w:cs="Times New Roman"/>
                <w:iCs/>
                <w:sz w:val="20"/>
                <w:szCs w:val="20"/>
              </w:rPr>
              <w:tab/>
              <w:t xml:space="preserve">Gjoba vendoset nga </w:t>
            </w:r>
            <w:r w:rsidR="00A570A7" w:rsidRPr="00EE294E">
              <w:rPr>
                <w:rFonts w:ascii="Times New Roman" w:eastAsia="Calibri" w:hAnsi="Times New Roman" w:cs="Times New Roman"/>
                <w:iCs/>
                <w:sz w:val="20"/>
                <w:szCs w:val="20"/>
              </w:rPr>
              <w:t>Drejtori i Përgjithshëm i</w:t>
            </w:r>
            <w:r w:rsidRPr="00EE294E">
              <w:rPr>
                <w:rFonts w:ascii="Times New Roman" w:eastAsia="Calibri" w:hAnsi="Times New Roman" w:cs="Times New Roman"/>
                <w:iCs/>
                <w:sz w:val="20"/>
                <w:szCs w:val="20"/>
              </w:rPr>
              <w:t xml:space="preserve"> Tatimeve, sipas legjislacionit në fuqi për kundërvajtjet administrative.</w:t>
            </w:r>
          </w:p>
          <w:p w14:paraId="3D30D877" w14:textId="3740797F" w:rsidR="002A7599" w:rsidRPr="00EE294E" w:rsidRDefault="002A7599" w:rsidP="002A7599">
            <w:pPr>
              <w:spacing w:line="276" w:lineRule="auto"/>
              <w:jc w:val="both"/>
              <w:rPr>
                <w:rFonts w:ascii="Times New Roman" w:eastAsia="Calibri" w:hAnsi="Times New Roman" w:cs="Times New Roman"/>
                <w:iCs/>
                <w:sz w:val="20"/>
                <w:szCs w:val="20"/>
              </w:rPr>
            </w:pPr>
            <w:r w:rsidRPr="00EE294E">
              <w:rPr>
                <w:rFonts w:ascii="Times New Roman" w:eastAsia="Calibri" w:hAnsi="Times New Roman" w:cs="Times New Roman"/>
                <w:iCs/>
                <w:sz w:val="20"/>
                <w:szCs w:val="20"/>
              </w:rPr>
              <w:t>5.</w:t>
            </w:r>
            <w:r w:rsidRPr="00EE294E">
              <w:rPr>
                <w:rFonts w:ascii="Times New Roman" w:eastAsia="Calibri" w:hAnsi="Times New Roman" w:cs="Times New Roman"/>
                <w:iCs/>
                <w:sz w:val="20"/>
                <w:szCs w:val="20"/>
              </w:rPr>
              <w:tab/>
              <w:t>Kundër vendimit për vendosjen e gjobës mund të bëhet ankim pranë gjykatës administrative kompetente, në përputhje me legjislacionin në fuqi për gjykatat administrative dhe gjykimin e mosmarrëveshjeve administrative.</w:t>
            </w:r>
          </w:p>
          <w:p w14:paraId="4C6A0FC1" w14:textId="75AFD240" w:rsidR="003C045B" w:rsidRPr="00EE294E" w:rsidRDefault="003C045B" w:rsidP="007022FA">
            <w:pPr>
              <w:spacing w:line="276" w:lineRule="auto"/>
              <w:jc w:val="both"/>
              <w:rPr>
                <w:rFonts w:ascii="Times New Roman" w:eastAsia="Calibri" w:hAnsi="Times New Roman" w:cs="Times New Roman"/>
                <w:i/>
                <w:sz w:val="20"/>
                <w:szCs w:val="20"/>
              </w:rPr>
            </w:pPr>
          </w:p>
        </w:tc>
        <w:tc>
          <w:tcPr>
            <w:tcW w:w="720" w:type="dxa"/>
            <w:shd w:val="clear" w:color="auto" w:fill="F2F2F2"/>
          </w:tcPr>
          <w:p w14:paraId="1BEB4026" w14:textId="63DAE492" w:rsidR="003C045B" w:rsidRPr="00EE294E" w:rsidRDefault="003C045B" w:rsidP="003C045B">
            <w:pPr>
              <w:jc w:val="center"/>
              <w:rPr>
                <w:rFonts w:ascii="Times New Roman" w:eastAsia="Calibri" w:hAnsi="Times New Roman" w:cs="Times New Roman"/>
                <w:i/>
                <w:sz w:val="20"/>
                <w:szCs w:val="20"/>
                <w:lang w:val="en-US"/>
              </w:rPr>
            </w:pPr>
            <w:r w:rsidRPr="00EE294E">
              <w:rPr>
                <w:rFonts w:ascii="Times New Roman" w:eastAsia="Calibri" w:hAnsi="Times New Roman" w:cs="Times New Roman"/>
                <w:i/>
                <w:sz w:val="20"/>
                <w:szCs w:val="20"/>
                <w:lang w:val="en-US"/>
              </w:rPr>
              <w:lastRenderedPageBreak/>
              <w:t>F</w:t>
            </w:r>
          </w:p>
        </w:tc>
        <w:tc>
          <w:tcPr>
            <w:tcW w:w="3510" w:type="dxa"/>
            <w:shd w:val="clear" w:color="auto" w:fill="F2F2F2"/>
          </w:tcPr>
          <w:p w14:paraId="54ED8158" w14:textId="77777777" w:rsidR="003C045B" w:rsidRPr="00EE294E" w:rsidRDefault="003C045B" w:rsidP="003C045B">
            <w:pPr>
              <w:pStyle w:val="NormalWeb"/>
              <w:spacing w:line="240" w:lineRule="auto"/>
              <w:jc w:val="both"/>
              <w:rPr>
                <w:sz w:val="20"/>
                <w:szCs w:val="20"/>
                <w:lang w:val="en-US"/>
              </w:rPr>
            </w:pPr>
            <w:r w:rsidRPr="00EE294E">
              <w:rPr>
                <w:sz w:val="20"/>
                <w:szCs w:val="20"/>
              </w:rPr>
              <w:t xml:space="preserve">Neni 15 është </w:t>
            </w:r>
            <w:r w:rsidRPr="00EE294E">
              <w:rPr>
                <w:rStyle w:val="Strong"/>
                <w:rFonts w:eastAsia="Calibri"/>
                <w:b w:val="0"/>
                <w:bCs w:val="0"/>
                <w:sz w:val="20"/>
                <w:szCs w:val="20"/>
              </w:rPr>
              <w:t xml:space="preserve">në përputhje me Nenin 273 të Direktivës 2006/112/KE </w:t>
            </w:r>
            <w:r w:rsidRPr="00EE294E">
              <w:rPr>
                <w:sz w:val="20"/>
                <w:szCs w:val="20"/>
              </w:rPr>
              <w:t>.</w:t>
            </w:r>
          </w:p>
          <w:p w14:paraId="3687FA24" w14:textId="77777777" w:rsidR="003C045B" w:rsidRPr="00EE294E" w:rsidRDefault="003C045B" w:rsidP="003C045B">
            <w:pPr>
              <w:pStyle w:val="NormalWeb"/>
              <w:spacing w:line="240" w:lineRule="auto"/>
              <w:jc w:val="both"/>
              <w:rPr>
                <w:sz w:val="20"/>
                <w:szCs w:val="20"/>
              </w:rPr>
            </w:pPr>
            <w:r w:rsidRPr="00EE294E">
              <w:rPr>
                <w:sz w:val="20"/>
                <w:szCs w:val="20"/>
              </w:rPr>
              <w:t>Ai lejon vendosjen e detyrimeve shtesë administrative, përcakton sanksione të shkallëzuara dhe ruan mundësinë e ankimimit, pa krijuar pengesa për transaksionet ndërkufitare.</w:t>
            </w:r>
          </w:p>
          <w:p w14:paraId="2B08ADE6" w14:textId="77777777" w:rsidR="003C045B" w:rsidRPr="00EE294E" w:rsidRDefault="003C045B" w:rsidP="003C045B">
            <w:pPr>
              <w:rPr>
                <w:rFonts w:ascii="Times New Roman" w:eastAsia="Calibri" w:hAnsi="Times New Roman" w:cs="Times New Roman"/>
                <w:i/>
                <w:sz w:val="20"/>
                <w:szCs w:val="20"/>
              </w:rPr>
            </w:pPr>
          </w:p>
        </w:tc>
      </w:tr>
      <w:tr w:rsidR="003C045B" w:rsidRPr="00EE294E" w14:paraId="01DB1503" w14:textId="77777777" w:rsidTr="00990A3C">
        <w:tc>
          <w:tcPr>
            <w:tcW w:w="540" w:type="dxa"/>
          </w:tcPr>
          <w:p w14:paraId="43FE0BD5" w14:textId="1FA8AC90" w:rsidR="003C045B" w:rsidRPr="00EE294E" w:rsidRDefault="003C045B" w:rsidP="003C045B">
            <w:pPr>
              <w:jc w:val="both"/>
              <w:rPr>
                <w:rFonts w:ascii="Times New Roman" w:eastAsia="Calibri" w:hAnsi="Times New Roman" w:cs="Times New Roman"/>
                <w:sz w:val="20"/>
                <w:szCs w:val="20"/>
                <w:lang w:val="en-US"/>
              </w:rPr>
            </w:pPr>
          </w:p>
        </w:tc>
        <w:tc>
          <w:tcPr>
            <w:tcW w:w="5400" w:type="dxa"/>
            <w:shd w:val="clear" w:color="auto" w:fill="D0CECE" w:themeFill="background2" w:themeFillShade="E6"/>
          </w:tcPr>
          <w:p w14:paraId="0418BD54" w14:textId="3482F974" w:rsidR="003C045B" w:rsidRPr="00EE294E" w:rsidRDefault="003C045B" w:rsidP="003C045B">
            <w:pPr>
              <w:jc w:val="both"/>
              <w:rPr>
                <w:rFonts w:ascii="Times New Roman" w:eastAsia="Calibri" w:hAnsi="Times New Roman" w:cs="Times New Roman"/>
                <w:iCs/>
                <w:sz w:val="20"/>
                <w:szCs w:val="20"/>
                <w:lang w:val="en-US"/>
              </w:rPr>
            </w:pPr>
          </w:p>
        </w:tc>
        <w:tc>
          <w:tcPr>
            <w:tcW w:w="450" w:type="dxa"/>
            <w:shd w:val="clear" w:color="auto" w:fill="D0CECE" w:themeFill="background2" w:themeFillShade="E6"/>
          </w:tcPr>
          <w:p w14:paraId="12D30A9E" w14:textId="6584D8ED" w:rsidR="003C045B" w:rsidRPr="00EE294E" w:rsidRDefault="003C045B" w:rsidP="003C045B">
            <w:pPr>
              <w:jc w:val="center"/>
              <w:rPr>
                <w:rFonts w:ascii="Times New Roman" w:eastAsia="Calibri" w:hAnsi="Times New Roman" w:cs="Times New Roman"/>
                <w:sz w:val="20"/>
                <w:szCs w:val="20"/>
              </w:rPr>
            </w:pPr>
          </w:p>
        </w:tc>
        <w:tc>
          <w:tcPr>
            <w:tcW w:w="644" w:type="dxa"/>
            <w:shd w:val="clear" w:color="auto" w:fill="D0CECE" w:themeFill="background2" w:themeFillShade="E6"/>
          </w:tcPr>
          <w:p w14:paraId="589A5FA3" w14:textId="77777777" w:rsidR="003C045B" w:rsidRPr="00EE294E" w:rsidRDefault="003C045B" w:rsidP="003C045B">
            <w:pPr>
              <w:jc w:val="center"/>
              <w:rPr>
                <w:rFonts w:ascii="Times New Roman" w:eastAsia="Calibri" w:hAnsi="Times New Roman" w:cs="Times New Roman"/>
                <w:sz w:val="20"/>
                <w:szCs w:val="20"/>
                <w:lang w:val="en-US"/>
              </w:rPr>
            </w:pPr>
          </w:p>
        </w:tc>
        <w:tc>
          <w:tcPr>
            <w:tcW w:w="5040" w:type="dxa"/>
            <w:shd w:val="clear" w:color="auto" w:fill="D0CECE" w:themeFill="background2" w:themeFillShade="E6"/>
          </w:tcPr>
          <w:p w14:paraId="0E70E76C" w14:textId="77777777" w:rsidR="002A7599" w:rsidRPr="00EE294E" w:rsidRDefault="002A7599" w:rsidP="002A7599">
            <w:pPr>
              <w:jc w:val="center"/>
              <w:rPr>
                <w:rFonts w:ascii="Times New Roman" w:eastAsia="Calibri" w:hAnsi="Times New Roman" w:cs="Times New Roman"/>
                <w:b/>
                <w:bCs/>
                <w:sz w:val="20"/>
                <w:szCs w:val="20"/>
                <w:lang w:val="it-CH"/>
              </w:rPr>
            </w:pPr>
            <w:r w:rsidRPr="00EE294E">
              <w:rPr>
                <w:rFonts w:ascii="Times New Roman" w:eastAsia="Calibri" w:hAnsi="Times New Roman" w:cs="Times New Roman"/>
                <w:b/>
                <w:bCs/>
                <w:sz w:val="20"/>
                <w:szCs w:val="20"/>
                <w:lang w:val="it-CH"/>
              </w:rPr>
              <w:t>Neni 15</w:t>
            </w:r>
          </w:p>
          <w:p w14:paraId="1C6AC3F9" w14:textId="77777777" w:rsidR="002A7599" w:rsidRPr="00EE294E" w:rsidRDefault="002A7599" w:rsidP="002A7599">
            <w:pPr>
              <w:jc w:val="center"/>
              <w:rPr>
                <w:rFonts w:ascii="Times New Roman" w:eastAsia="Calibri" w:hAnsi="Times New Roman" w:cs="Times New Roman"/>
                <w:b/>
                <w:bCs/>
                <w:sz w:val="20"/>
                <w:szCs w:val="20"/>
                <w:lang w:val="it-CH"/>
              </w:rPr>
            </w:pPr>
          </w:p>
          <w:p w14:paraId="5759BAC5" w14:textId="46ECE19A" w:rsidR="003C045B" w:rsidRPr="00EE294E" w:rsidRDefault="002A7599" w:rsidP="002A7599">
            <w:pPr>
              <w:jc w:val="center"/>
              <w:rPr>
                <w:rFonts w:ascii="Times New Roman" w:eastAsia="Calibri" w:hAnsi="Times New Roman" w:cs="Times New Roman"/>
                <w:sz w:val="20"/>
                <w:szCs w:val="20"/>
                <w:lang w:val="it-CH"/>
              </w:rPr>
            </w:pPr>
            <w:r w:rsidRPr="00EE294E">
              <w:rPr>
                <w:rFonts w:ascii="Times New Roman" w:eastAsia="Calibri" w:hAnsi="Times New Roman" w:cs="Times New Roman"/>
                <w:b/>
                <w:bCs/>
                <w:sz w:val="20"/>
                <w:szCs w:val="20"/>
                <w:lang w:val="it-CH"/>
              </w:rPr>
              <w:t>Përgjegjësia në rastin e forcave madhore</w:t>
            </w:r>
          </w:p>
        </w:tc>
        <w:tc>
          <w:tcPr>
            <w:tcW w:w="720" w:type="dxa"/>
            <w:shd w:val="clear" w:color="auto" w:fill="D0CECE" w:themeFill="background2" w:themeFillShade="E6"/>
          </w:tcPr>
          <w:p w14:paraId="285F00D8" w14:textId="315C81A8" w:rsidR="003C045B" w:rsidRPr="00EE294E" w:rsidRDefault="003C045B" w:rsidP="003C045B">
            <w:pPr>
              <w:jc w:val="center"/>
              <w:rPr>
                <w:rFonts w:ascii="Times New Roman" w:eastAsia="Calibri" w:hAnsi="Times New Roman" w:cs="Times New Roman"/>
                <w:sz w:val="20"/>
                <w:szCs w:val="20"/>
                <w:lang w:val="it-CH"/>
              </w:rPr>
            </w:pPr>
          </w:p>
        </w:tc>
        <w:tc>
          <w:tcPr>
            <w:tcW w:w="3510" w:type="dxa"/>
            <w:shd w:val="clear" w:color="auto" w:fill="D0CECE" w:themeFill="background2" w:themeFillShade="E6"/>
          </w:tcPr>
          <w:p w14:paraId="5FB019CF" w14:textId="77777777" w:rsidR="003C045B" w:rsidRPr="00EE294E" w:rsidRDefault="003C045B" w:rsidP="003C045B">
            <w:pPr>
              <w:rPr>
                <w:rFonts w:ascii="Times New Roman" w:eastAsia="Calibri" w:hAnsi="Times New Roman" w:cs="Times New Roman"/>
                <w:sz w:val="20"/>
                <w:szCs w:val="20"/>
                <w:lang w:val="it-CH"/>
              </w:rPr>
            </w:pPr>
          </w:p>
        </w:tc>
      </w:tr>
      <w:tr w:rsidR="003C045B" w:rsidRPr="00EE294E" w14:paraId="0A280824" w14:textId="77777777" w:rsidTr="004738EE">
        <w:tc>
          <w:tcPr>
            <w:tcW w:w="540" w:type="dxa"/>
          </w:tcPr>
          <w:p w14:paraId="4CC1BC67" w14:textId="654A2C67" w:rsidR="003C045B" w:rsidRPr="00EE294E" w:rsidRDefault="003C045B" w:rsidP="003C045B">
            <w:pPr>
              <w:jc w:val="both"/>
              <w:rPr>
                <w:rFonts w:ascii="Times New Roman" w:eastAsia="Calibri" w:hAnsi="Times New Roman" w:cs="Times New Roman"/>
                <w:sz w:val="20"/>
                <w:szCs w:val="20"/>
                <w:lang w:val="it-CH"/>
              </w:rPr>
            </w:pPr>
          </w:p>
        </w:tc>
        <w:tc>
          <w:tcPr>
            <w:tcW w:w="5400" w:type="dxa"/>
          </w:tcPr>
          <w:p w14:paraId="3F658A9F" w14:textId="6BB6F7B8" w:rsidR="003C045B" w:rsidRPr="00EE294E" w:rsidRDefault="003C045B" w:rsidP="003C045B">
            <w:pPr>
              <w:jc w:val="both"/>
              <w:rPr>
                <w:rFonts w:ascii="Times New Roman" w:eastAsia="Calibri" w:hAnsi="Times New Roman" w:cs="Times New Roman"/>
                <w:iCs/>
                <w:sz w:val="20"/>
                <w:szCs w:val="20"/>
                <w:lang w:val="it-CH"/>
              </w:rPr>
            </w:pPr>
          </w:p>
        </w:tc>
        <w:tc>
          <w:tcPr>
            <w:tcW w:w="450" w:type="dxa"/>
          </w:tcPr>
          <w:p w14:paraId="68B1A8F1" w14:textId="6488B5E5" w:rsidR="003C045B" w:rsidRPr="00EE294E" w:rsidRDefault="003C045B" w:rsidP="003C045B">
            <w:pPr>
              <w:jc w:val="center"/>
              <w:rPr>
                <w:rFonts w:ascii="Times New Roman" w:eastAsia="Calibri" w:hAnsi="Times New Roman" w:cs="Times New Roman"/>
                <w:sz w:val="20"/>
                <w:szCs w:val="20"/>
              </w:rPr>
            </w:pPr>
          </w:p>
        </w:tc>
        <w:tc>
          <w:tcPr>
            <w:tcW w:w="644" w:type="dxa"/>
          </w:tcPr>
          <w:p w14:paraId="129A8AC4" w14:textId="6CCCDB0B" w:rsidR="003C045B" w:rsidRPr="00EE294E" w:rsidRDefault="003D7B59" w:rsidP="003C045B">
            <w:pPr>
              <w:jc w:val="center"/>
              <w:rPr>
                <w:rFonts w:ascii="Times New Roman" w:eastAsia="Calibri" w:hAnsi="Times New Roman" w:cs="Times New Roman"/>
                <w:sz w:val="20"/>
                <w:szCs w:val="20"/>
                <w:lang w:val="en-US"/>
              </w:rPr>
            </w:pPr>
            <w:r w:rsidRPr="00EE294E">
              <w:rPr>
                <w:rFonts w:ascii="Times New Roman" w:eastAsia="Calibri" w:hAnsi="Times New Roman" w:cs="Times New Roman"/>
                <w:sz w:val="20"/>
                <w:szCs w:val="20"/>
                <w:lang w:val="en-US"/>
              </w:rPr>
              <w:t>Neni 15</w:t>
            </w:r>
          </w:p>
        </w:tc>
        <w:tc>
          <w:tcPr>
            <w:tcW w:w="5040" w:type="dxa"/>
          </w:tcPr>
          <w:p w14:paraId="457ED932" w14:textId="6561589B" w:rsidR="00DA1204" w:rsidRPr="00EE294E" w:rsidRDefault="00DA1204" w:rsidP="007022FA">
            <w:pPr>
              <w:jc w:val="both"/>
              <w:rPr>
                <w:rFonts w:ascii="Times New Roman" w:eastAsia="Times New Roman" w:hAnsi="Times New Roman" w:cs="Times New Roman"/>
                <w:sz w:val="20"/>
                <w:szCs w:val="20"/>
              </w:rPr>
            </w:pPr>
          </w:p>
          <w:p w14:paraId="639270FE" w14:textId="1E0E0499" w:rsidR="002A7599" w:rsidRPr="00EE294E" w:rsidRDefault="002A7599" w:rsidP="002A7599">
            <w:pPr>
              <w:jc w:val="both"/>
              <w:rPr>
                <w:rFonts w:ascii="Times New Roman" w:eastAsia="Calibri" w:hAnsi="Times New Roman" w:cs="Times New Roman"/>
                <w:sz w:val="20"/>
                <w:szCs w:val="20"/>
                <w:lang w:val="sq-AL"/>
              </w:rPr>
            </w:pPr>
            <w:r w:rsidRPr="00EE294E">
              <w:rPr>
                <w:rFonts w:ascii="Times New Roman" w:eastAsia="Calibri" w:hAnsi="Times New Roman" w:cs="Times New Roman"/>
                <w:sz w:val="20"/>
                <w:szCs w:val="20"/>
                <w:lang w:val="sq-AL"/>
              </w:rPr>
              <w:t>1.</w:t>
            </w:r>
            <w:r w:rsidRPr="00EE294E">
              <w:rPr>
                <w:rFonts w:ascii="Times New Roman" w:eastAsia="Calibri" w:hAnsi="Times New Roman" w:cs="Times New Roman"/>
                <w:sz w:val="20"/>
                <w:szCs w:val="20"/>
                <w:lang w:val="sq-AL"/>
              </w:rPr>
              <w:tab/>
              <w:t>Ofruesit  e shërbimeve të pagesave nuk mbajnë përgjegjësi për mospërmbushjen e detyrimit sipas nenit 9</w:t>
            </w:r>
            <w:r w:rsidR="008028C2" w:rsidRPr="00EE294E">
              <w:rPr>
                <w:rFonts w:ascii="Times New Roman" w:eastAsia="Calibri" w:hAnsi="Times New Roman" w:cs="Times New Roman"/>
                <w:sz w:val="20"/>
                <w:szCs w:val="20"/>
                <w:lang w:val="sq-AL"/>
              </w:rPr>
              <w:t xml:space="preserve"> të këtij ligji</w:t>
            </w:r>
            <w:r w:rsidRPr="00EE294E">
              <w:rPr>
                <w:rFonts w:ascii="Times New Roman" w:eastAsia="Calibri" w:hAnsi="Times New Roman" w:cs="Times New Roman"/>
                <w:sz w:val="20"/>
                <w:szCs w:val="20"/>
                <w:lang w:val="sq-AL"/>
              </w:rPr>
              <w:t xml:space="preserve">, në rast të gjendjes së jashtëzakonshme, të luftërave, </w:t>
            </w:r>
            <w:r w:rsidR="00A570A7" w:rsidRPr="00EE294E">
              <w:rPr>
                <w:rFonts w:ascii="Times New Roman" w:eastAsia="Calibri" w:hAnsi="Times New Roman" w:cs="Times New Roman"/>
                <w:sz w:val="20"/>
                <w:szCs w:val="20"/>
                <w:lang w:val="sq-AL"/>
              </w:rPr>
              <w:t xml:space="preserve">rastet e forcave madhore </w:t>
            </w:r>
            <w:r w:rsidRPr="00EE294E">
              <w:rPr>
                <w:rFonts w:ascii="Times New Roman" w:eastAsia="Calibri" w:hAnsi="Times New Roman" w:cs="Times New Roman"/>
                <w:sz w:val="20"/>
                <w:szCs w:val="20"/>
                <w:lang w:val="sq-AL"/>
              </w:rPr>
              <w:t>dhe fatkeqësive natyrore.</w:t>
            </w:r>
          </w:p>
          <w:p w14:paraId="0405B8A6" w14:textId="77777777" w:rsidR="002A7599" w:rsidRPr="00EE294E" w:rsidRDefault="002A7599" w:rsidP="002A7599">
            <w:pPr>
              <w:jc w:val="both"/>
              <w:rPr>
                <w:rFonts w:ascii="Times New Roman" w:eastAsia="Calibri" w:hAnsi="Times New Roman" w:cs="Times New Roman"/>
                <w:sz w:val="20"/>
                <w:szCs w:val="20"/>
                <w:lang w:val="sq-AL"/>
              </w:rPr>
            </w:pPr>
          </w:p>
          <w:p w14:paraId="5AA6CCE5" w14:textId="3336FFF2" w:rsidR="003C045B" w:rsidRPr="00EE294E" w:rsidRDefault="002A7599" w:rsidP="002A7599">
            <w:pPr>
              <w:jc w:val="both"/>
              <w:rPr>
                <w:rFonts w:ascii="Times New Roman" w:eastAsia="Calibri" w:hAnsi="Times New Roman" w:cs="Times New Roman"/>
                <w:sz w:val="20"/>
                <w:szCs w:val="20"/>
                <w:lang w:val="sq-AL"/>
              </w:rPr>
            </w:pPr>
            <w:r w:rsidRPr="00EE294E">
              <w:rPr>
                <w:rFonts w:ascii="Times New Roman" w:eastAsia="Calibri" w:hAnsi="Times New Roman" w:cs="Times New Roman"/>
                <w:sz w:val="20"/>
                <w:szCs w:val="20"/>
                <w:lang w:val="sq-AL"/>
              </w:rPr>
              <w:t>2.</w:t>
            </w:r>
            <w:r w:rsidRPr="00EE294E">
              <w:rPr>
                <w:rFonts w:ascii="Times New Roman" w:eastAsia="Calibri" w:hAnsi="Times New Roman" w:cs="Times New Roman"/>
                <w:sz w:val="20"/>
                <w:szCs w:val="20"/>
                <w:lang w:val="sq-AL"/>
              </w:rPr>
              <w:tab/>
              <w:t xml:space="preserve">Ofruesit  e shërbimeve të pagesave që nuk janë në gjendje të përmbushin detyrimet në përputhje me nenin 9 pika 1 </w:t>
            </w:r>
            <w:r w:rsidR="008028C2" w:rsidRPr="00EE294E">
              <w:rPr>
                <w:rFonts w:ascii="Times New Roman" w:eastAsia="Calibri" w:hAnsi="Times New Roman" w:cs="Times New Roman"/>
                <w:sz w:val="20"/>
                <w:szCs w:val="20"/>
                <w:lang w:val="sq-AL"/>
              </w:rPr>
              <w:t xml:space="preserve">shkronja </w:t>
            </w:r>
            <w:r w:rsidR="00F43325" w:rsidRPr="00EE294E">
              <w:rPr>
                <w:rFonts w:ascii="Times New Roman" w:eastAsia="Calibri" w:hAnsi="Times New Roman" w:cs="Times New Roman"/>
                <w:sz w:val="20"/>
                <w:szCs w:val="20"/>
                <w:lang w:val="sq-AL"/>
              </w:rPr>
              <w:t>(</w:t>
            </w:r>
            <w:r w:rsidRPr="00EE294E">
              <w:rPr>
                <w:rFonts w:ascii="Times New Roman" w:eastAsia="Calibri" w:hAnsi="Times New Roman" w:cs="Times New Roman"/>
                <w:sz w:val="20"/>
                <w:szCs w:val="20"/>
                <w:lang w:val="sq-AL"/>
              </w:rPr>
              <w:t xml:space="preserve">c), njoftojnë me shkrim Drejtorinë e Përgjithshme të Tatimeve për shkakun </w:t>
            </w:r>
            <w:r w:rsidR="008028C2" w:rsidRPr="00EE294E">
              <w:rPr>
                <w:rFonts w:ascii="Times New Roman" w:eastAsia="Calibri" w:hAnsi="Times New Roman" w:cs="Times New Roman"/>
                <w:sz w:val="20"/>
                <w:szCs w:val="20"/>
                <w:lang w:val="sq-AL"/>
              </w:rPr>
              <w:t>dh</w:t>
            </w:r>
            <w:r w:rsidRPr="00EE294E">
              <w:rPr>
                <w:rFonts w:ascii="Times New Roman" w:eastAsia="Calibri" w:hAnsi="Times New Roman" w:cs="Times New Roman"/>
                <w:sz w:val="20"/>
                <w:szCs w:val="20"/>
                <w:lang w:val="sq-AL"/>
              </w:rPr>
              <w:t>e shkallën e problemit që e ka penguar atë në përmbushjen e detyrimeve, si dhe bën të gjitha përpjekjet e arsyeshme për të rifilluar përmbushjen e detyrimeve sa më shpejt që të jetë e mundur.</w:t>
            </w:r>
          </w:p>
        </w:tc>
        <w:tc>
          <w:tcPr>
            <w:tcW w:w="720" w:type="dxa"/>
          </w:tcPr>
          <w:p w14:paraId="4C0F418F" w14:textId="43FB6966" w:rsidR="003C045B" w:rsidRPr="00EE294E" w:rsidRDefault="003C045B" w:rsidP="003C045B">
            <w:pPr>
              <w:jc w:val="center"/>
              <w:rPr>
                <w:rFonts w:ascii="Times New Roman" w:eastAsia="Calibri" w:hAnsi="Times New Roman" w:cs="Times New Roman"/>
                <w:sz w:val="20"/>
                <w:szCs w:val="20"/>
                <w:lang w:val="sq-AL"/>
              </w:rPr>
            </w:pPr>
          </w:p>
        </w:tc>
        <w:tc>
          <w:tcPr>
            <w:tcW w:w="3510" w:type="dxa"/>
          </w:tcPr>
          <w:p w14:paraId="031E509B" w14:textId="77777777" w:rsidR="00147181" w:rsidRPr="00EE294E" w:rsidRDefault="00147181" w:rsidP="00EE294E">
            <w:pPr>
              <w:jc w:val="both"/>
              <w:rPr>
                <w:rFonts w:ascii="Times New Roman" w:eastAsia="Times New Roman" w:hAnsi="Times New Roman" w:cs="Times New Roman"/>
                <w:sz w:val="20"/>
                <w:szCs w:val="20"/>
              </w:rPr>
            </w:pPr>
            <w:r w:rsidRPr="00EE294E">
              <w:rPr>
                <w:rFonts w:ascii="Times New Roman" w:eastAsia="Times New Roman" w:hAnsi="Times New Roman" w:cs="Times New Roman"/>
                <w:sz w:val="20"/>
                <w:szCs w:val="20"/>
              </w:rPr>
              <w:t>Dispozitë kombëtare.</w:t>
            </w:r>
          </w:p>
          <w:p w14:paraId="155ADC57" w14:textId="77777777" w:rsidR="003C045B" w:rsidRPr="00EE294E" w:rsidRDefault="003C045B" w:rsidP="00EE294E">
            <w:pPr>
              <w:jc w:val="both"/>
              <w:rPr>
                <w:rFonts w:ascii="Times New Roman" w:eastAsia="Times New Roman" w:hAnsi="Times New Roman" w:cs="Times New Roman"/>
                <w:i/>
                <w:sz w:val="20"/>
                <w:szCs w:val="20"/>
              </w:rPr>
            </w:pPr>
            <w:r w:rsidRPr="00EE294E">
              <w:rPr>
                <w:rFonts w:ascii="Times New Roman" w:eastAsia="Times New Roman" w:hAnsi="Times New Roman" w:cs="Times New Roman"/>
                <w:i/>
                <w:sz w:val="20"/>
                <w:szCs w:val="20"/>
              </w:rPr>
              <w:t>Nuk ka ndonjë dispozitë specifike në Direktivën 2020/284; dispozitë shtesë kombëtare.</w:t>
            </w:r>
          </w:p>
          <w:p w14:paraId="0052F906" w14:textId="59C3B55E" w:rsidR="003C045B" w:rsidRPr="00EE294E" w:rsidRDefault="003C045B" w:rsidP="00EE294E">
            <w:pPr>
              <w:jc w:val="both"/>
              <w:rPr>
                <w:rFonts w:ascii="Times New Roman" w:eastAsia="Calibri" w:hAnsi="Times New Roman" w:cs="Times New Roman"/>
                <w:sz w:val="20"/>
                <w:szCs w:val="20"/>
                <w:lang w:val="en-US"/>
              </w:rPr>
            </w:pPr>
            <w:r w:rsidRPr="00EE294E">
              <w:rPr>
                <w:rFonts w:ascii="Times New Roman" w:eastAsia="Times New Roman" w:hAnsi="Times New Roman" w:cs="Times New Roman"/>
                <w:sz w:val="20"/>
                <w:szCs w:val="20"/>
              </w:rPr>
              <w:t>Lejohet si rregull kombëtar</w:t>
            </w:r>
          </w:p>
        </w:tc>
      </w:tr>
      <w:tr w:rsidR="003C045B" w:rsidRPr="00EE294E" w14:paraId="42D63892" w14:textId="77777777" w:rsidTr="00990A3C">
        <w:trPr>
          <w:trHeight w:val="1008"/>
        </w:trPr>
        <w:tc>
          <w:tcPr>
            <w:tcW w:w="540" w:type="dxa"/>
          </w:tcPr>
          <w:p w14:paraId="3CCCFFF5" w14:textId="3D21E7E1" w:rsidR="003C045B" w:rsidRPr="00EE294E" w:rsidRDefault="003C045B" w:rsidP="003C045B">
            <w:pPr>
              <w:jc w:val="both"/>
              <w:rPr>
                <w:rFonts w:ascii="Times New Roman" w:eastAsia="Calibri" w:hAnsi="Times New Roman" w:cs="Times New Roman"/>
                <w:sz w:val="20"/>
                <w:szCs w:val="20"/>
                <w:lang w:val="en-US"/>
              </w:rPr>
            </w:pPr>
          </w:p>
        </w:tc>
        <w:tc>
          <w:tcPr>
            <w:tcW w:w="5400" w:type="dxa"/>
            <w:shd w:val="clear" w:color="auto" w:fill="D0CECE" w:themeFill="background2" w:themeFillShade="E6"/>
          </w:tcPr>
          <w:p w14:paraId="1F8428AC" w14:textId="5E855BDC" w:rsidR="003C045B" w:rsidRPr="00EE294E" w:rsidRDefault="003C045B" w:rsidP="003C045B">
            <w:pPr>
              <w:jc w:val="both"/>
              <w:rPr>
                <w:rFonts w:ascii="Times New Roman" w:eastAsia="Calibri" w:hAnsi="Times New Roman" w:cs="Times New Roman"/>
                <w:iCs/>
                <w:sz w:val="20"/>
                <w:szCs w:val="20"/>
                <w:lang w:val="en-US"/>
              </w:rPr>
            </w:pPr>
          </w:p>
        </w:tc>
        <w:tc>
          <w:tcPr>
            <w:tcW w:w="450" w:type="dxa"/>
            <w:shd w:val="clear" w:color="auto" w:fill="D0CECE" w:themeFill="background2" w:themeFillShade="E6"/>
          </w:tcPr>
          <w:p w14:paraId="7A167751" w14:textId="4D6AA9CF" w:rsidR="003C045B" w:rsidRPr="00EE294E" w:rsidRDefault="003C045B" w:rsidP="003C045B">
            <w:pPr>
              <w:rPr>
                <w:rFonts w:ascii="Times New Roman" w:eastAsia="Calibri" w:hAnsi="Times New Roman" w:cs="Times New Roman"/>
                <w:sz w:val="20"/>
                <w:szCs w:val="20"/>
              </w:rPr>
            </w:pPr>
          </w:p>
        </w:tc>
        <w:tc>
          <w:tcPr>
            <w:tcW w:w="644" w:type="dxa"/>
            <w:shd w:val="clear" w:color="auto" w:fill="D0CECE" w:themeFill="background2" w:themeFillShade="E6"/>
          </w:tcPr>
          <w:p w14:paraId="584A3692" w14:textId="0563BE3A" w:rsidR="003C045B" w:rsidRPr="00EE294E" w:rsidRDefault="003C045B" w:rsidP="003C045B">
            <w:pPr>
              <w:rPr>
                <w:rFonts w:ascii="Times New Roman" w:eastAsia="Calibri" w:hAnsi="Times New Roman" w:cs="Times New Roman"/>
                <w:sz w:val="20"/>
                <w:szCs w:val="20"/>
                <w:lang w:val="en-US"/>
              </w:rPr>
            </w:pPr>
          </w:p>
        </w:tc>
        <w:tc>
          <w:tcPr>
            <w:tcW w:w="5040" w:type="dxa"/>
            <w:shd w:val="clear" w:color="auto" w:fill="D0CECE" w:themeFill="background2" w:themeFillShade="E6"/>
          </w:tcPr>
          <w:p w14:paraId="747213FB" w14:textId="77777777" w:rsidR="002A7599" w:rsidRPr="00EE294E" w:rsidRDefault="002A7599" w:rsidP="002A7599">
            <w:pPr>
              <w:jc w:val="center"/>
              <w:rPr>
                <w:rFonts w:ascii="Times New Roman" w:eastAsia="Calibri" w:hAnsi="Times New Roman" w:cs="Times New Roman"/>
                <w:sz w:val="20"/>
                <w:szCs w:val="20"/>
                <w:lang w:val="en-US"/>
              </w:rPr>
            </w:pPr>
            <w:r w:rsidRPr="00EE294E">
              <w:rPr>
                <w:rFonts w:ascii="Times New Roman" w:eastAsia="Calibri" w:hAnsi="Times New Roman" w:cs="Times New Roman"/>
                <w:sz w:val="20"/>
                <w:szCs w:val="20"/>
                <w:lang w:val="en-US"/>
              </w:rPr>
              <w:t>Neni 16</w:t>
            </w:r>
          </w:p>
          <w:p w14:paraId="321C5EE0" w14:textId="5775843C" w:rsidR="003C045B" w:rsidRPr="00EE294E" w:rsidRDefault="002A7599" w:rsidP="002A7599">
            <w:pPr>
              <w:jc w:val="center"/>
              <w:rPr>
                <w:rFonts w:ascii="Times New Roman" w:eastAsia="Calibri" w:hAnsi="Times New Roman" w:cs="Times New Roman"/>
                <w:sz w:val="20"/>
                <w:szCs w:val="20"/>
                <w:lang w:val="en-US"/>
              </w:rPr>
            </w:pPr>
            <w:proofErr w:type="spellStart"/>
            <w:r w:rsidRPr="00EE294E">
              <w:rPr>
                <w:rFonts w:ascii="Times New Roman" w:eastAsia="Calibri" w:hAnsi="Times New Roman" w:cs="Times New Roman"/>
                <w:sz w:val="20"/>
                <w:szCs w:val="20"/>
                <w:lang w:val="en-US"/>
              </w:rPr>
              <w:t>Institucionet</w:t>
            </w:r>
            <w:proofErr w:type="spellEnd"/>
            <w:r w:rsidRPr="00EE294E">
              <w:rPr>
                <w:rFonts w:ascii="Times New Roman" w:eastAsia="Calibri" w:hAnsi="Times New Roman" w:cs="Times New Roman"/>
                <w:sz w:val="20"/>
                <w:szCs w:val="20"/>
                <w:lang w:val="en-US"/>
              </w:rPr>
              <w:t xml:space="preserve"> </w:t>
            </w:r>
            <w:proofErr w:type="spellStart"/>
            <w:r w:rsidRPr="00EE294E">
              <w:rPr>
                <w:rFonts w:ascii="Times New Roman" w:eastAsia="Calibri" w:hAnsi="Times New Roman" w:cs="Times New Roman"/>
                <w:sz w:val="20"/>
                <w:szCs w:val="20"/>
                <w:lang w:val="en-US"/>
              </w:rPr>
              <w:t>zbatuese</w:t>
            </w:r>
            <w:proofErr w:type="spellEnd"/>
          </w:p>
        </w:tc>
        <w:tc>
          <w:tcPr>
            <w:tcW w:w="720" w:type="dxa"/>
            <w:shd w:val="clear" w:color="auto" w:fill="D0CECE" w:themeFill="background2" w:themeFillShade="E6"/>
          </w:tcPr>
          <w:p w14:paraId="05707711" w14:textId="4644B721" w:rsidR="003C045B" w:rsidRPr="00EE294E" w:rsidRDefault="003C045B" w:rsidP="003C045B">
            <w:pPr>
              <w:jc w:val="center"/>
              <w:rPr>
                <w:rFonts w:ascii="Times New Roman" w:eastAsia="Calibri" w:hAnsi="Times New Roman" w:cs="Times New Roman"/>
                <w:sz w:val="20"/>
                <w:szCs w:val="20"/>
                <w:lang w:val="en-US"/>
              </w:rPr>
            </w:pPr>
          </w:p>
        </w:tc>
        <w:tc>
          <w:tcPr>
            <w:tcW w:w="3510" w:type="dxa"/>
            <w:shd w:val="clear" w:color="auto" w:fill="D0CECE" w:themeFill="background2" w:themeFillShade="E6"/>
          </w:tcPr>
          <w:p w14:paraId="1F1D51C2" w14:textId="572A6EB9" w:rsidR="003C045B" w:rsidRPr="00EE294E" w:rsidRDefault="003C045B" w:rsidP="003C045B">
            <w:pPr>
              <w:rPr>
                <w:rFonts w:ascii="Times New Roman" w:eastAsia="Calibri" w:hAnsi="Times New Roman" w:cs="Times New Roman"/>
                <w:sz w:val="20"/>
                <w:szCs w:val="20"/>
                <w:lang w:val="en-US"/>
              </w:rPr>
            </w:pPr>
          </w:p>
        </w:tc>
      </w:tr>
      <w:tr w:rsidR="003C045B" w:rsidRPr="00EE294E" w14:paraId="1E7B05E8" w14:textId="77777777" w:rsidTr="004738EE">
        <w:tc>
          <w:tcPr>
            <w:tcW w:w="540" w:type="dxa"/>
          </w:tcPr>
          <w:p w14:paraId="2F45229D" w14:textId="00C2B9F7" w:rsidR="003C045B" w:rsidRPr="00EE294E" w:rsidRDefault="003C045B" w:rsidP="003C045B">
            <w:pPr>
              <w:jc w:val="both"/>
              <w:rPr>
                <w:rFonts w:ascii="Times New Roman" w:eastAsia="Calibri" w:hAnsi="Times New Roman" w:cs="Times New Roman"/>
                <w:sz w:val="20"/>
                <w:szCs w:val="20"/>
                <w:lang w:val="en-US"/>
              </w:rPr>
            </w:pPr>
          </w:p>
        </w:tc>
        <w:tc>
          <w:tcPr>
            <w:tcW w:w="5400" w:type="dxa"/>
          </w:tcPr>
          <w:p w14:paraId="35674A15" w14:textId="77777777" w:rsidR="003C045B" w:rsidRPr="00EE294E" w:rsidRDefault="003C045B" w:rsidP="003C045B">
            <w:pPr>
              <w:jc w:val="both"/>
              <w:rPr>
                <w:rFonts w:ascii="Times New Roman" w:eastAsia="Calibri" w:hAnsi="Times New Roman" w:cs="Times New Roman"/>
                <w:iCs/>
                <w:sz w:val="20"/>
                <w:szCs w:val="20"/>
                <w:lang w:val="en-US"/>
              </w:rPr>
            </w:pPr>
          </w:p>
          <w:p w14:paraId="62A25992" w14:textId="17551084" w:rsidR="003C045B" w:rsidRPr="00EE294E" w:rsidRDefault="003C045B" w:rsidP="007022FA">
            <w:pPr>
              <w:rPr>
                <w:rFonts w:ascii="Times New Roman" w:eastAsia="Calibri" w:hAnsi="Times New Roman" w:cs="Times New Roman"/>
                <w:iCs/>
                <w:sz w:val="20"/>
                <w:szCs w:val="20"/>
                <w:lang w:val="en-US"/>
              </w:rPr>
            </w:pPr>
          </w:p>
        </w:tc>
        <w:tc>
          <w:tcPr>
            <w:tcW w:w="450" w:type="dxa"/>
          </w:tcPr>
          <w:p w14:paraId="696A29FD" w14:textId="61FB2EF3" w:rsidR="003C045B" w:rsidRPr="00EE294E" w:rsidRDefault="003C045B" w:rsidP="003C045B">
            <w:pPr>
              <w:jc w:val="center"/>
              <w:rPr>
                <w:rFonts w:ascii="Times New Roman" w:eastAsia="Calibri" w:hAnsi="Times New Roman" w:cs="Times New Roman"/>
                <w:sz w:val="20"/>
                <w:szCs w:val="20"/>
              </w:rPr>
            </w:pPr>
          </w:p>
        </w:tc>
        <w:tc>
          <w:tcPr>
            <w:tcW w:w="644" w:type="dxa"/>
          </w:tcPr>
          <w:p w14:paraId="56E1EAE1" w14:textId="65DFCE6D" w:rsidR="003C045B" w:rsidRPr="00EE294E" w:rsidRDefault="003D7B59" w:rsidP="003C045B">
            <w:pPr>
              <w:jc w:val="center"/>
              <w:rPr>
                <w:rFonts w:ascii="Times New Roman" w:eastAsia="Calibri" w:hAnsi="Times New Roman" w:cs="Times New Roman"/>
                <w:sz w:val="20"/>
                <w:szCs w:val="20"/>
                <w:highlight w:val="yellow"/>
                <w:lang w:val="en-US"/>
              </w:rPr>
            </w:pPr>
            <w:r w:rsidRPr="00EE294E">
              <w:rPr>
                <w:rFonts w:ascii="Times New Roman" w:eastAsia="Calibri" w:hAnsi="Times New Roman" w:cs="Times New Roman"/>
                <w:sz w:val="20"/>
                <w:szCs w:val="20"/>
                <w:lang w:val="en-US"/>
              </w:rPr>
              <w:t xml:space="preserve">Neni 16 </w:t>
            </w:r>
            <w:proofErr w:type="spellStart"/>
            <w:r w:rsidRPr="00EE294E">
              <w:rPr>
                <w:rFonts w:ascii="Times New Roman" w:eastAsia="Calibri" w:hAnsi="Times New Roman" w:cs="Times New Roman"/>
                <w:sz w:val="20"/>
                <w:szCs w:val="20"/>
                <w:lang w:val="en-US"/>
              </w:rPr>
              <w:t>dhe</w:t>
            </w:r>
            <w:proofErr w:type="spellEnd"/>
            <w:r w:rsidRPr="00EE294E">
              <w:rPr>
                <w:rFonts w:ascii="Times New Roman" w:eastAsia="Calibri" w:hAnsi="Times New Roman" w:cs="Times New Roman"/>
                <w:sz w:val="20"/>
                <w:szCs w:val="20"/>
                <w:lang w:val="en-US"/>
              </w:rPr>
              <w:t xml:space="preserve"> Neni 17</w:t>
            </w:r>
          </w:p>
        </w:tc>
        <w:tc>
          <w:tcPr>
            <w:tcW w:w="5040" w:type="dxa"/>
          </w:tcPr>
          <w:p w14:paraId="13F2444B" w14:textId="77777777" w:rsidR="00CC70E1" w:rsidRPr="00EE294E" w:rsidRDefault="00CC70E1">
            <w:pPr>
              <w:jc w:val="both"/>
              <w:rPr>
                <w:rFonts w:ascii="Times New Roman" w:hAnsi="Times New Roman" w:cs="Times New Roman"/>
                <w:sz w:val="20"/>
                <w:szCs w:val="20"/>
              </w:rPr>
            </w:pPr>
          </w:p>
          <w:p w14:paraId="04A6CBB8" w14:textId="205CD117" w:rsidR="00931B73" w:rsidRPr="00EE294E" w:rsidRDefault="002A7599">
            <w:pPr>
              <w:jc w:val="both"/>
              <w:rPr>
                <w:rFonts w:ascii="Times New Roman" w:hAnsi="Times New Roman" w:cs="Times New Roman"/>
                <w:sz w:val="20"/>
                <w:szCs w:val="20"/>
              </w:rPr>
            </w:pPr>
            <w:r w:rsidRPr="00EE294E">
              <w:rPr>
                <w:rFonts w:ascii="Times New Roman" w:hAnsi="Times New Roman" w:cs="Times New Roman"/>
                <w:sz w:val="20"/>
                <w:szCs w:val="20"/>
              </w:rPr>
              <w:t xml:space="preserve">Ngarkohen administrata tatimore, ofruesit  e </w:t>
            </w:r>
            <w:r w:rsidR="008028C2" w:rsidRPr="00EE294E">
              <w:rPr>
                <w:rFonts w:ascii="Times New Roman" w:hAnsi="Times New Roman" w:cs="Times New Roman"/>
                <w:sz w:val="20"/>
                <w:szCs w:val="20"/>
              </w:rPr>
              <w:t xml:space="preserve">shërbimeve </w:t>
            </w:r>
            <w:r w:rsidRPr="00EE294E">
              <w:rPr>
                <w:rFonts w:ascii="Times New Roman" w:hAnsi="Times New Roman" w:cs="Times New Roman"/>
                <w:sz w:val="20"/>
                <w:szCs w:val="20"/>
              </w:rPr>
              <w:t xml:space="preserve">të pagesave dhe Agjensia Kombëtare e </w:t>
            </w:r>
            <w:r w:rsidR="009173E9">
              <w:rPr>
                <w:rFonts w:ascii="Times New Roman" w:hAnsi="Times New Roman" w:cs="Times New Roman"/>
                <w:sz w:val="20"/>
                <w:szCs w:val="20"/>
              </w:rPr>
              <w:t>Shoqërisë s</w:t>
            </w:r>
            <w:r w:rsidRPr="00EE294E">
              <w:rPr>
                <w:rFonts w:ascii="Times New Roman" w:hAnsi="Times New Roman" w:cs="Times New Roman"/>
                <w:sz w:val="20"/>
                <w:szCs w:val="20"/>
              </w:rPr>
              <w:t xml:space="preserve">ë Informacionit për zbatimin e këtij ligji si dhe për të marrë masat e nevojshme për të garantuar zbatimin e këtij ligji nga data e anëtarësimit të Republikës së Shqipërisë në </w:t>
            </w:r>
            <w:r w:rsidR="008028C2" w:rsidRPr="00EE294E">
              <w:rPr>
                <w:rFonts w:ascii="Times New Roman" w:hAnsi="Times New Roman" w:cs="Times New Roman"/>
                <w:sz w:val="20"/>
                <w:szCs w:val="20"/>
              </w:rPr>
              <w:t>Bashkimin Evropian</w:t>
            </w:r>
            <w:r w:rsidRPr="00EE294E">
              <w:rPr>
                <w:rFonts w:ascii="Times New Roman" w:hAnsi="Times New Roman" w:cs="Times New Roman"/>
                <w:sz w:val="20"/>
                <w:szCs w:val="20"/>
              </w:rPr>
              <w:t>, sipas përcaktimeve në nenin 18 të këtij ligji.</w:t>
            </w:r>
          </w:p>
          <w:p w14:paraId="5D58DDFC" w14:textId="3548FD8A" w:rsidR="00931B73" w:rsidRPr="00EE294E" w:rsidRDefault="00931B73" w:rsidP="00931B73">
            <w:pPr>
              <w:jc w:val="both"/>
              <w:rPr>
                <w:rFonts w:ascii="Times New Roman" w:eastAsia="Calibri" w:hAnsi="Times New Roman" w:cs="Times New Roman"/>
                <w:sz w:val="20"/>
                <w:szCs w:val="20"/>
                <w:lang w:val="sq-AL"/>
              </w:rPr>
            </w:pPr>
          </w:p>
          <w:p w14:paraId="4C336DAD" w14:textId="6C0357D1" w:rsidR="00931B73" w:rsidRPr="00EE294E" w:rsidRDefault="00931B73" w:rsidP="00931B73">
            <w:pPr>
              <w:jc w:val="both"/>
              <w:rPr>
                <w:rFonts w:ascii="Times New Roman" w:eastAsia="Calibri" w:hAnsi="Times New Roman" w:cs="Times New Roman"/>
                <w:sz w:val="20"/>
                <w:szCs w:val="20"/>
                <w:lang w:val="sq-AL"/>
              </w:rPr>
            </w:pPr>
          </w:p>
          <w:p w14:paraId="574CE230" w14:textId="3B8E2F9E" w:rsidR="00931B73" w:rsidRPr="00EE294E" w:rsidRDefault="00931B73" w:rsidP="00931B73">
            <w:pPr>
              <w:jc w:val="both"/>
              <w:rPr>
                <w:rFonts w:ascii="Times New Roman" w:eastAsia="Calibri" w:hAnsi="Times New Roman" w:cs="Times New Roman"/>
                <w:sz w:val="20"/>
                <w:szCs w:val="20"/>
                <w:lang w:val="sq-AL"/>
              </w:rPr>
            </w:pPr>
          </w:p>
          <w:p w14:paraId="7D08375B" w14:textId="77777777" w:rsidR="002A7599" w:rsidRPr="00EE294E" w:rsidRDefault="002A7599" w:rsidP="002A7599">
            <w:pPr>
              <w:jc w:val="center"/>
              <w:rPr>
                <w:rFonts w:ascii="Times New Roman" w:eastAsia="Calibri" w:hAnsi="Times New Roman" w:cs="Times New Roman"/>
                <w:b/>
                <w:bCs/>
                <w:sz w:val="20"/>
                <w:szCs w:val="20"/>
                <w:lang w:val="sq-AL"/>
              </w:rPr>
            </w:pPr>
            <w:r w:rsidRPr="00EE294E">
              <w:rPr>
                <w:rFonts w:ascii="Times New Roman" w:eastAsia="Calibri" w:hAnsi="Times New Roman" w:cs="Times New Roman"/>
                <w:b/>
                <w:bCs/>
                <w:sz w:val="20"/>
                <w:szCs w:val="20"/>
                <w:lang w:val="sq-AL"/>
              </w:rPr>
              <w:t>Neni 17</w:t>
            </w:r>
          </w:p>
          <w:p w14:paraId="3F4086E2" w14:textId="0C92558A" w:rsidR="002A7599" w:rsidRPr="00EE294E" w:rsidRDefault="002A7599" w:rsidP="002A7599">
            <w:pPr>
              <w:jc w:val="center"/>
              <w:rPr>
                <w:rFonts w:ascii="Times New Roman" w:eastAsia="Calibri" w:hAnsi="Times New Roman" w:cs="Times New Roman"/>
                <w:b/>
                <w:bCs/>
                <w:sz w:val="20"/>
                <w:szCs w:val="20"/>
                <w:lang w:val="sq-AL"/>
              </w:rPr>
            </w:pPr>
            <w:r w:rsidRPr="00EE294E">
              <w:rPr>
                <w:rFonts w:ascii="Times New Roman" w:eastAsia="Calibri" w:hAnsi="Times New Roman" w:cs="Times New Roman"/>
                <w:b/>
                <w:bCs/>
                <w:sz w:val="20"/>
                <w:szCs w:val="20"/>
                <w:lang w:val="sq-AL"/>
              </w:rPr>
              <w:t>Aktet nënligjore</w:t>
            </w:r>
          </w:p>
          <w:p w14:paraId="29836A70" w14:textId="77777777" w:rsidR="002A7599" w:rsidRPr="00EE294E" w:rsidRDefault="002A7599" w:rsidP="002A7599">
            <w:pPr>
              <w:jc w:val="both"/>
              <w:rPr>
                <w:rFonts w:ascii="Times New Roman" w:eastAsia="Calibri" w:hAnsi="Times New Roman" w:cs="Times New Roman"/>
                <w:sz w:val="20"/>
                <w:szCs w:val="20"/>
                <w:lang w:val="sq-AL"/>
              </w:rPr>
            </w:pPr>
          </w:p>
          <w:p w14:paraId="7AD350A7" w14:textId="106CDF98" w:rsidR="003C045B" w:rsidRPr="00EE294E" w:rsidRDefault="002A7599" w:rsidP="002A7599">
            <w:pPr>
              <w:jc w:val="both"/>
              <w:rPr>
                <w:rFonts w:ascii="Times New Roman" w:eastAsia="Calibri" w:hAnsi="Times New Roman" w:cs="Times New Roman"/>
                <w:sz w:val="20"/>
                <w:szCs w:val="20"/>
                <w:lang w:val="sq-AL"/>
              </w:rPr>
            </w:pPr>
            <w:r w:rsidRPr="00EE294E">
              <w:rPr>
                <w:rFonts w:ascii="Times New Roman" w:eastAsia="Calibri" w:hAnsi="Times New Roman" w:cs="Times New Roman"/>
                <w:sz w:val="20"/>
                <w:szCs w:val="20"/>
                <w:lang w:val="sq-AL"/>
              </w:rPr>
              <w:t xml:space="preserve">Brenda 6 muajve nga hyrja në fuqi e këtij ligji, Këshilli i Ministrave miraton </w:t>
            </w:r>
            <w:r w:rsidR="008028C2" w:rsidRPr="00EE294E">
              <w:rPr>
                <w:rFonts w:ascii="Times New Roman" w:eastAsia="Calibri" w:hAnsi="Times New Roman" w:cs="Times New Roman"/>
                <w:sz w:val="20"/>
                <w:szCs w:val="20"/>
                <w:lang w:val="sq-AL"/>
              </w:rPr>
              <w:t xml:space="preserve">Vendimin </w:t>
            </w:r>
            <w:r w:rsidRPr="00EE294E">
              <w:rPr>
                <w:rFonts w:ascii="Times New Roman" w:eastAsia="Calibri" w:hAnsi="Times New Roman" w:cs="Times New Roman"/>
                <w:sz w:val="20"/>
                <w:szCs w:val="20"/>
                <w:lang w:val="sq-AL"/>
              </w:rPr>
              <w:t>për përcaktimin e rregullave të hollësishme, procedurave dhe aspekteve teknike për zbatimin e këtij ligji.</w:t>
            </w:r>
          </w:p>
        </w:tc>
        <w:tc>
          <w:tcPr>
            <w:tcW w:w="720" w:type="dxa"/>
          </w:tcPr>
          <w:p w14:paraId="17CA02B8" w14:textId="2C5FF8E1" w:rsidR="003C045B" w:rsidRPr="00EE294E" w:rsidRDefault="003C045B" w:rsidP="003C045B">
            <w:pPr>
              <w:jc w:val="center"/>
              <w:rPr>
                <w:rFonts w:ascii="Times New Roman" w:eastAsia="Calibri" w:hAnsi="Times New Roman" w:cs="Times New Roman"/>
                <w:sz w:val="20"/>
                <w:szCs w:val="20"/>
                <w:lang w:val="sq-AL"/>
              </w:rPr>
            </w:pPr>
          </w:p>
        </w:tc>
        <w:tc>
          <w:tcPr>
            <w:tcW w:w="3510" w:type="dxa"/>
          </w:tcPr>
          <w:p w14:paraId="5CF47594" w14:textId="1A6E25A3" w:rsidR="00147181" w:rsidRPr="00EE294E" w:rsidRDefault="00147181" w:rsidP="00EE294E">
            <w:pPr>
              <w:jc w:val="both"/>
              <w:rPr>
                <w:rFonts w:ascii="Times New Roman" w:eastAsia="Times New Roman" w:hAnsi="Times New Roman" w:cs="Times New Roman"/>
                <w:sz w:val="20"/>
                <w:szCs w:val="20"/>
              </w:rPr>
            </w:pPr>
            <w:r w:rsidRPr="00EE294E">
              <w:rPr>
                <w:rFonts w:ascii="Times New Roman" w:eastAsia="Times New Roman" w:hAnsi="Times New Roman" w:cs="Times New Roman"/>
                <w:sz w:val="20"/>
                <w:szCs w:val="20"/>
              </w:rPr>
              <w:t>Dispozitë kombëtare.</w:t>
            </w:r>
          </w:p>
          <w:p w14:paraId="1FD42302" w14:textId="1B9753E6" w:rsidR="00DA1204" w:rsidRPr="00EE294E" w:rsidRDefault="003C045B" w:rsidP="00EE294E">
            <w:pPr>
              <w:jc w:val="both"/>
              <w:rPr>
                <w:rFonts w:ascii="Times New Roman" w:eastAsia="Times New Roman" w:hAnsi="Times New Roman" w:cs="Times New Roman"/>
                <w:sz w:val="20"/>
                <w:szCs w:val="20"/>
              </w:rPr>
            </w:pPr>
            <w:r w:rsidRPr="00EE294E">
              <w:rPr>
                <w:rFonts w:ascii="Times New Roman" w:eastAsia="Times New Roman" w:hAnsi="Times New Roman" w:cs="Times New Roman"/>
                <w:sz w:val="20"/>
                <w:szCs w:val="20"/>
              </w:rPr>
              <w:t>Neni 16 është në përputhje me Rregulloren Zbatuese (BE) 2022/1504 dhe praktikat ligjore kombëtare.</w:t>
            </w:r>
          </w:p>
          <w:p w14:paraId="62277331" w14:textId="681E49ED" w:rsidR="003C045B" w:rsidRPr="00EE294E" w:rsidRDefault="003C045B" w:rsidP="00EE294E">
            <w:pPr>
              <w:jc w:val="both"/>
              <w:rPr>
                <w:rFonts w:ascii="Times New Roman" w:eastAsia="Calibri" w:hAnsi="Times New Roman" w:cs="Times New Roman"/>
                <w:sz w:val="20"/>
                <w:szCs w:val="20"/>
              </w:rPr>
            </w:pPr>
            <w:r w:rsidRPr="00EE294E">
              <w:rPr>
                <w:rFonts w:ascii="Times New Roman" w:eastAsia="Times New Roman" w:hAnsi="Times New Roman" w:cs="Times New Roman"/>
                <w:sz w:val="20"/>
                <w:szCs w:val="20"/>
              </w:rPr>
              <w:t xml:space="preserve">Ai përcakton institucionet përgjegjëse për zbatimin e këtij ligji dhe përcakton detyrimet e tyre për të ndërmarrë </w:t>
            </w:r>
            <w:r w:rsidR="00DA1204" w:rsidRPr="00EE294E">
              <w:rPr>
                <w:rFonts w:ascii="Times New Roman" w:hAnsi="Times New Roman" w:cs="Times New Roman"/>
                <w:sz w:val="20"/>
                <w:szCs w:val="20"/>
              </w:rPr>
              <w:t>masat e nevojshme për të siguruar zbatimin e tij që nga data e anëtarësimit të Shqipërisë në Bashkimin Evropian.</w:t>
            </w:r>
            <w:r w:rsidR="00DA1204" w:rsidRPr="00EE294E" w:rsidDel="00DA1204">
              <w:rPr>
                <w:rFonts w:ascii="Times New Roman" w:eastAsia="Times New Roman" w:hAnsi="Times New Roman" w:cs="Times New Roman"/>
                <w:sz w:val="20"/>
                <w:szCs w:val="20"/>
              </w:rPr>
              <w:t xml:space="preserve"> </w:t>
            </w:r>
          </w:p>
        </w:tc>
      </w:tr>
      <w:tr w:rsidR="003C045B" w:rsidRPr="00EE294E" w14:paraId="4DDC655C" w14:textId="77777777" w:rsidTr="00990A3C">
        <w:tc>
          <w:tcPr>
            <w:tcW w:w="540" w:type="dxa"/>
          </w:tcPr>
          <w:p w14:paraId="709E465B" w14:textId="36F5F544" w:rsidR="003C045B" w:rsidRPr="00EE294E" w:rsidRDefault="003C045B" w:rsidP="003C045B">
            <w:pPr>
              <w:jc w:val="both"/>
              <w:rPr>
                <w:rFonts w:ascii="Times New Roman" w:eastAsia="Calibri" w:hAnsi="Times New Roman" w:cs="Times New Roman"/>
                <w:sz w:val="20"/>
                <w:szCs w:val="20"/>
              </w:rPr>
            </w:pPr>
          </w:p>
        </w:tc>
        <w:tc>
          <w:tcPr>
            <w:tcW w:w="5400" w:type="dxa"/>
            <w:shd w:val="clear" w:color="auto" w:fill="D0CECE" w:themeFill="background2" w:themeFillShade="E6"/>
          </w:tcPr>
          <w:p w14:paraId="02FE104A" w14:textId="3B9DFCBF" w:rsidR="003C045B" w:rsidRPr="00EE294E" w:rsidRDefault="003C045B" w:rsidP="003C045B">
            <w:pPr>
              <w:jc w:val="both"/>
              <w:rPr>
                <w:rFonts w:ascii="Times New Roman" w:eastAsia="Calibri" w:hAnsi="Times New Roman" w:cs="Times New Roman"/>
                <w:i/>
                <w:iCs/>
                <w:sz w:val="20"/>
                <w:szCs w:val="20"/>
              </w:rPr>
            </w:pPr>
          </w:p>
        </w:tc>
        <w:tc>
          <w:tcPr>
            <w:tcW w:w="450" w:type="dxa"/>
            <w:shd w:val="clear" w:color="auto" w:fill="D0CECE" w:themeFill="background2" w:themeFillShade="E6"/>
          </w:tcPr>
          <w:p w14:paraId="43C9614A" w14:textId="12E6CEF3" w:rsidR="003C045B" w:rsidRPr="00EE294E" w:rsidRDefault="003C045B" w:rsidP="003C045B">
            <w:pPr>
              <w:jc w:val="center"/>
              <w:rPr>
                <w:rFonts w:ascii="Times New Roman" w:eastAsia="Calibri" w:hAnsi="Times New Roman" w:cs="Times New Roman"/>
                <w:i/>
                <w:iCs/>
                <w:sz w:val="20"/>
                <w:szCs w:val="20"/>
              </w:rPr>
            </w:pPr>
          </w:p>
        </w:tc>
        <w:tc>
          <w:tcPr>
            <w:tcW w:w="644" w:type="dxa"/>
            <w:shd w:val="clear" w:color="auto" w:fill="D0CECE" w:themeFill="background2" w:themeFillShade="E6"/>
          </w:tcPr>
          <w:p w14:paraId="05BDF9B8" w14:textId="7E6F679C" w:rsidR="003C045B" w:rsidRPr="00EE294E" w:rsidRDefault="003C045B" w:rsidP="007022FA">
            <w:pPr>
              <w:jc w:val="center"/>
              <w:rPr>
                <w:rFonts w:ascii="Times New Roman" w:eastAsia="Calibri" w:hAnsi="Times New Roman" w:cs="Times New Roman"/>
                <w:iCs/>
                <w:sz w:val="20"/>
                <w:szCs w:val="20"/>
                <w:highlight w:val="cyan"/>
              </w:rPr>
            </w:pPr>
          </w:p>
        </w:tc>
        <w:tc>
          <w:tcPr>
            <w:tcW w:w="5040" w:type="dxa"/>
            <w:shd w:val="clear" w:color="auto" w:fill="D0CECE" w:themeFill="background2" w:themeFillShade="E6"/>
          </w:tcPr>
          <w:p w14:paraId="15B66437" w14:textId="77777777" w:rsidR="00931B73" w:rsidRPr="00EE294E" w:rsidRDefault="00931B73" w:rsidP="00931B73">
            <w:pPr>
              <w:jc w:val="center"/>
              <w:rPr>
                <w:rFonts w:ascii="Times New Roman" w:hAnsi="Times New Roman" w:cs="Times New Roman"/>
                <w:b/>
                <w:bCs/>
                <w:iCs/>
                <w:sz w:val="20"/>
                <w:szCs w:val="20"/>
                <w:lang w:val="sq-AL"/>
              </w:rPr>
            </w:pPr>
            <w:r w:rsidRPr="00EE294E">
              <w:rPr>
                <w:rFonts w:ascii="Times New Roman" w:hAnsi="Times New Roman" w:cs="Times New Roman"/>
                <w:b/>
                <w:bCs/>
                <w:iCs/>
                <w:sz w:val="20"/>
                <w:szCs w:val="20"/>
                <w:lang w:val="sq-AL"/>
              </w:rPr>
              <w:t>Neni 18</w:t>
            </w:r>
          </w:p>
          <w:p w14:paraId="18A13A99" w14:textId="47D496CC" w:rsidR="003C045B" w:rsidRPr="00EE294E" w:rsidRDefault="00931B73" w:rsidP="007022FA">
            <w:pPr>
              <w:jc w:val="center"/>
              <w:rPr>
                <w:rFonts w:ascii="Times New Roman" w:eastAsia="Calibri" w:hAnsi="Times New Roman" w:cs="Times New Roman"/>
                <w:iCs/>
                <w:sz w:val="20"/>
                <w:szCs w:val="20"/>
                <w:lang w:val="en-US"/>
              </w:rPr>
            </w:pPr>
            <w:r w:rsidRPr="00EE294E">
              <w:rPr>
                <w:rFonts w:ascii="Times New Roman" w:hAnsi="Times New Roman" w:cs="Times New Roman"/>
                <w:b/>
                <w:bCs/>
                <w:iCs/>
                <w:sz w:val="20"/>
                <w:szCs w:val="20"/>
                <w:lang w:val="sq-AL"/>
              </w:rPr>
              <w:t>Hyrja në fuqi</w:t>
            </w:r>
          </w:p>
        </w:tc>
        <w:tc>
          <w:tcPr>
            <w:tcW w:w="720" w:type="dxa"/>
            <w:shd w:val="clear" w:color="auto" w:fill="D0CECE" w:themeFill="background2" w:themeFillShade="E6"/>
          </w:tcPr>
          <w:p w14:paraId="7C51AE8F" w14:textId="4141EDDB" w:rsidR="003C045B" w:rsidRPr="00EE294E" w:rsidRDefault="003C045B" w:rsidP="003C045B">
            <w:pPr>
              <w:jc w:val="center"/>
              <w:rPr>
                <w:rFonts w:ascii="Times New Roman" w:eastAsia="Calibri" w:hAnsi="Times New Roman" w:cs="Times New Roman"/>
                <w:i/>
                <w:iCs/>
                <w:sz w:val="20"/>
                <w:szCs w:val="20"/>
                <w:lang w:val="en-US"/>
              </w:rPr>
            </w:pPr>
          </w:p>
        </w:tc>
        <w:tc>
          <w:tcPr>
            <w:tcW w:w="3510" w:type="dxa"/>
            <w:shd w:val="clear" w:color="auto" w:fill="D0CECE" w:themeFill="background2" w:themeFillShade="E6"/>
          </w:tcPr>
          <w:p w14:paraId="64A29FE1" w14:textId="473745A6" w:rsidR="003C045B" w:rsidRPr="00EE294E" w:rsidRDefault="003C045B" w:rsidP="003C045B">
            <w:pPr>
              <w:rPr>
                <w:rFonts w:ascii="Times New Roman" w:eastAsia="Calibri" w:hAnsi="Times New Roman" w:cs="Times New Roman"/>
                <w:i/>
                <w:iCs/>
                <w:sz w:val="20"/>
                <w:szCs w:val="20"/>
                <w:lang w:val="en-US"/>
              </w:rPr>
            </w:pPr>
          </w:p>
        </w:tc>
      </w:tr>
      <w:tr w:rsidR="003C045B" w:rsidRPr="00EE294E" w14:paraId="6A9A6B6E" w14:textId="77777777" w:rsidTr="004738EE">
        <w:tc>
          <w:tcPr>
            <w:tcW w:w="540" w:type="dxa"/>
          </w:tcPr>
          <w:p w14:paraId="1B296679" w14:textId="655FEA8B" w:rsidR="003C045B" w:rsidRPr="00EE294E" w:rsidRDefault="003C045B" w:rsidP="003C045B">
            <w:pPr>
              <w:jc w:val="both"/>
              <w:rPr>
                <w:rFonts w:ascii="Times New Roman" w:eastAsia="Calibri" w:hAnsi="Times New Roman" w:cs="Times New Roman"/>
                <w:sz w:val="20"/>
                <w:szCs w:val="20"/>
                <w:lang w:val="en-US"/>
              </w:rPr>
            </w:pPr>
          </w:p>
        </w:tc>
        <w:tc>
          <w:tcPr>
            <w:tcW w:w="5400" w:type="dxa"/>
          </w:tcPr>
          <w:p w14:paraId="25E6F0F1" w14:textId="77777777" w:rsidR="00147181" w:rsidRPr="00EE294E" w:rsidRDefault="00147181" w:rsidP="00147181">
            <w:pPr>
              <w:pStyle w:val="oj-ti-art"/>
              <w:shd w:val="clear" w:color="auto" w:fill="FFFFFF"/>
              <w:spacing w:before="360" w:beforeAutospacing="0" w:after="120" w:afterAutospacing="0" w:line="312" w:lineRule="atLeast"/>
              <w:jc w:val="center"/>
              <w:rPr>
                <w:i/>
                <w:iCs/>
                <w:color w:val="333333"/>
                <w:sz w:val="20"/>
                <w:szCs w:val="20"/>
              </w:rPr>
            </w:pPr>
            <w:r w:rsidRPr="00EE294E">
              <w:rPr>
                <w:i/>
                <w:iCs/>
                <w:color w:val="333333"/>
                <w:sz w:val="20"/>
                <w:szCs w:val="20"/>
              </w:rPr>
              <w:t>Neni 2</w:t>
            </w:r>
          </w:p>
          <w:p w14:paraId="27B60B98" w14:textId="77777777" w:rsidR="00147181" w:rsidRPr="00EE294E" w:rsidRDefault="00147181" w:rsidP="00147181">
            <w:pPr>
              <w:pStyle w:val="oj-normal"/>
              <w:shd w:val="clear" w:color="auto" w:fill="FFFFFF"/>
              <w:spacing w:before="120" w:beforeAutospacing="0" w:after="0" w:afterAutospacing="0" w:line="312" w:lineRule="atLeast"/>
              <w:jc w:val="both"/>
              <w:rPr>
                <w:color w:val="333333"/>
                <w:sz w:val="20"/>
                <w:szCs w:val="20"/>
              </w:rPr>
            </w:pPr>
            <w:r w:rsidRPr="00EE294E">
              <w:rPr>
                <w:color w:val="333333"/>
                <w:sz w:val="20"/>
                <w:szCs w:val="20"/>
              </w:rPr>
              <w:t>1. Shtetet Anëtare miratojnë dhe publikojnë, jo më vonë se 31 dhjetor 2023, ligjet, rregulloret dhe dispozitat administrative të nevojshme për të përmbushur këtë Direktivë. Ato ia komunikojnë menjëherë tekstin e këtyre dispozitave Komisionit.</w:t>
            </w:r>
          </w:p>
          <w:p w14:paraId="0DE788FC" w14:textId="77777777" w:rsidR="00147181" w:rsidRPr="00EE294E" w:rsidRDefault="00147181" w:rsidP="00147181">
            <w:pPr>
              <w:pStyle w:val="oj-normal"/>
              <w:shd w:val="clear" w:color="auto" w:fill="FFFFFF"/>
              <w:spacing w:before="120" w:beforeAutospacing="0" w:after="0" w:afterAutospacing="0" w:line="312" w:lineRule="atLeast"/>
              <w:jc w:val="both"/>
              <w:rPr>
                <w:color w:val="333333"/>
                <w:sz w:val="20"/>
                <w:szCs w:val="20"/>
              </w:rPr>
            </w:pPr>
            <w:r w:rsidRPr="00EE294E">
              <w:rPr>
                <w:color w:val="333333"/>
                <w:sz w:val="20"/>
                <w:szCs w:val="20"/>
              </w:rPr>
              <w:t>Ato do t'i zbatojnë këto dispozita nga 1 janari 2024.</w:t>
            </w:r>
          </w:p>
          <w:p w14:paraId="067ED8F5" w14:textId="77777777" w:rsidR="00147181" w:rsidRPr="00EE294E" w:rsidRDefault="00147181" w:rsidP="00147181">
            <w:pPr>
              <w:pStyle w:val="oj-normal"/>
              <w:shd w:val="clear" w:color="auto" w:fill="FFFFFF"/>
              <w:spacing w:before="120" w:beforeAutospacing="0" w:after="0" w:afterAutospacing="0" w:line="312" w:lineRule="atLeast"/>
              <w:jc w:val="both"/>
              <w:rPr>
                <w:color w:val="333333"/>
                <w:sz w:val="20"/>
                <w:szCs w:val="20"/>
              </w:rPr>
            </w:pPr>
            <w:r w:rsidRPr="00EE294E">
              <w:rPr>
                <w:color w:val="333333"/>
                <w:sz w:val="20"/>
                <w:szCs w:val="20"/>
              </w:rPr>
              <w:t xml:space="preserve">Kur Shtetet Anëtare miratojnë këto dispozita, ato duhet të përmbajnë një referencë për këtë Direktivë ose të shoqërohen nga </w:t>
            </w:r>
            <w:r w:rsidRPr="00EE294E">
              <w:rPr>
                <w:color w:val="333333"/>
                <w:sz w:val="20"/>
                <w:szCs w:val="20"/>
              </w:rPr>
              <w:lastRenderedPageBreak/>
              <w:t>një referencë e tillë në rastin e publikimit të tyre zyrtar. Shtetet Anëtare përcaktojnë se si duhet të bëhet një referencë e tillë.</w:t>
            </w:r>
          </w:p>
          <w:p w14:paraId="4B55E554" w14:textId="77777777" w:rsidR="00147181" w:rsidRPr="00EE294E" w:rsidRDefault="00147181" w:rsidP="00147181">
            <w:pPr>
              <w:pStyle w:val="oj-normal"/>
              <w:shd w:val="clear" w:color="auto" w:fill="FFFFFF"/>
              <w:spacing w:before="120" w:beforeAutospacing="0" w:after="0" w:afterAutospacing="0" w:line="312" w:lineRule="atLeast"/>
              <w:jc w:val="both"/>
              <w:rPr>
                <w:color w:val="333333"/>
                <w:sz w:val="20"/>
                <w:szCs w:val="20"/>
              </w:rPr>
            </w:pPr>
            <w:r w:rsidRPr="00EE294E">
              <w:rPr>
                <w:color w:val="333333"/>
                <w:sz w:val="20"/>
                <w:szCs w:val="20"/>
              </w:rPr>
              <w:t>2. Shtetet Anëtare i komunikojnë Komisionit tekstin e dispozitave kryesore të ligjit kombëtar që miratojnë në fushën e mbuluar nga kjo Direktivë.</w:t>
            </w:r>
          </w:p>
          <w:p w14:paraId="394B9571" w14:textId="77777777" w:rsidR="00147181" w:rsidRPr="00EE294E" w:rsidRDefault="00147181" w:rsidP="00147181">
            <w:pPr>
              <w:pStyle w:val="oj-ti-art"/>
              <w:shd w:val="clear" w:color="auto" w:fill="FFFFFF"/>
              <w:spacing w:before="360" w:beforeAutospacing="0" w:after="120" w:afterAutospacing="0" w:line="312" w:lineRule="atLeast"/>
              <w:jc w:val="center"/>
              <w:rPr>
                <w:i/>
                <w:iCs/>
                <w:color w:val="333333"/>
                <w:sz w:val="20"/>
                <w:szCs w:val="20"/>
              </w:rPr>
            </w:pPr>
            <w:r w:rsidRPr="00EE294E">
              <w:rPr>
                <w:i/>
                <w:iCs/>
                <w:color w:val="333333"/>
                <w:sz w:val="20"/>
                <w:szCs w:val="20"/>
              </w:rPr>
              <w:t>Neni 3</w:t>
            </w:r>
          </w:p>
          <w:p w14:paraId="23B0E64C" w14:textId="77777777" w:rsidR="00147181" w:rsidRPr="00EE294E" w:rsidRDefault="00147181" w:rsidP="00147181">
            <w:pPr>
              <w:pStyle w:val="oj-normal"/>
              <w:shd w:val="clear" w:color="auto" w:fill="FFFFFF"/>
              <w:spacing w:before="120" w:beforeAutospacing="0" w:after="0" w:afterAutospacing="0" w:line="312" w:lineRule="atLeast"/>
              <w:jc w:val="both"/>
              <w:rPr>
                <w:color w:val="333333"/>
                <w:sz w:val="20"/>
                <w:szCs w:val="20"/>
              </w:rPr>
            </w:pPr>
            <w:r w:rsidRPr="00EE294E">
              <w:rPr>
                <w:color w:val="333333"/>
                <w:sz w:val="20"/>
                <w:szCs w:val="20"/>
              </w:rPr>
              <w:t xml:space="preserve">Kjo Direktivë hyn në fuqi në ditën e njëzetë pas botimit të saj në </w:t>
            </w:r>
            <w:r w:rsidRPr="00EE294E">
              <w:rPr>
                <w:rStyle w:val="oj-italic"/>
                <w:i/>
                <w:iCs/>
                <w:color w:val="333333"/>
                <w:sz w:val="20"/>
                <w:szCs w:val="20"/>
              </w:rPr>
              <w:t xml:space="preserve">Gazetën Zyrtare të Bashkimit Evropian </w:t>
            </w:r>
            <w:r w:rsidRPr="00EE294E">
              <w:rPr>
                <w:color w:val="333333"/>
                <w:sz w:val="20"/>
                <w:szCs w:val="20"/>
              </w:rPr>
              <w:t>.</w:t>
            </w:r>
          </w:p>
          <w:p w14:paraId="1E4CE096" w14:textId="0A13348A" w:rsidR="003C045B" w:rsidRPr="00EE294E" w:rsidRDefault="003C045B" w:rsidP="003C045B">
            <w:pPr>
              <w:jc w:val="both"/>
              <w:rPr>
                <w:rFonts w:ascii="Times New Roman" w:eastAsia="Calibri" w:hAnsi="Times New Roman" w:cs="Times New Roman"/>
                <w:iCs/>
                <w:sz w:val="20"/>
                <w:szCs w:val="20"/>
              </w:rPr>
            </w:pPr>
          </w:p>
        </w:tc>
        <w:tc>
          <w:tcPr>
            <w:tcW w:w="450" w:type="dxa"/>
          </w:tcPr>
          <w:p w14:paraId="44F88698" w14:textId="77777777" w:rsidR="003C045B" w:rsidRPr="00EE294E" w:rsidRDefault="003C045B" w:rsidP="003C045B">
            <w:pPr>
              <w:jc w:val="center"/>
              <w:rPr>
                <w:rFonts w:ascii="Times New Roman" w:eastAsia="Calibri" w:hAnsi="Times New Roman" w:cs="Times New Roman"/>
                <w:sz w:val="20"/>
                <w:szCs w:val="20"/>
                <w:highlight w:val="cyan"/>
              </w:rPr>
            </w:pPr>
          </w:p>
        </w:tc>
        <w:tc>
          <w:tcPr>
            <w:tcW w:w="644" w:type="dxa"/>
          </w:tcPr>
          <w:p w14:paraId="60795A2E" w14:textId="59C3A03F" w:rsidR="003C045B" w:rsidRPr="00EE294E" w:rsidRDefault="003D7B59" w:rsidP="003C045B">
            <w:pPr>
              <w:jc w:val="center"/>
              <w:rPr>
                <w:rFonts w:ascii="Times New Roman" w:eastAsia="Calibri" w:hAnsi="Times New Roman" w:cs="Times New Roman"/>
                <w:sz w:val="20"/>
                <w:szCs w:val="20"/>
                <w:highlight w:val="cyan"/>
                <w:lang w:val="en-US"/>
              </w:rPr>
            </w:pPr>
            <w:r w:rsidRPr="00EE294E">
              <w:rPr>
                <w:rFonts w:ascii="Times New Roman" w:eastAsia="Calibri" w:hAnsi="Times New Roman" w:cs="Times New Roman"/>
                <w:sz w:val="20"/>
                <w:szCs w:val="20"/>
                <w:lang w:val="en-US"/>
              </w:rPr>
              <w:t>Neni 18</w:t>
            </w:r>
          </w:p>
        </w:tc>
        <w:tc>
          <w:tcPr>
            <w:tcW w:w="5040" w:type="dxa"/>
          </w:tcPr>
          <w:p w14:paraId="26D9334A" w14:textId="77777777" w:rsidR="00931B73" w:rsidRPr="00EE294E" w:rsidRDefault="00931B73" w:rsidP="00931B73">
            <w:pPr>
              <w:jc w:val="both"/>
              <w:rPr>
                <w:rFonts w:ascii="Times New Roman" w:eastAsia="Times New Roman" w:hAnsi="Times New Roman" w:cs="Times New Roman"/>
                <w:sz w:val="20"/>
                <w:szCs w:val="20"/>
              </w:rPr>
            </w:pPr>
          </w:p>
          <w:p w14:paraId="08B09AD7" w14:textId="77777777" w:rsidR="002A7599" w:rsidRPr="00EE294E" w:rsidRDefault="002A7599" w:rsidP="002A7599">
            <w:pPr>
              <w:jc w:val="both"/>
              <w:rPr>
                <w:rFonts w:ascii="Times New Roman" w:eastAsia="Calibri" w:hAnsi="Times New Roman" w:cs="Times New Roman"/>
                <w:sz w:val="20"/>
                <w:szCs w:val="20"/>
              </w:rPr>
            </w:pPr>
            <w:r w:rsidRPr="00EE294E">
              <w:rPr>
                <w:rFonts w:ascii="Times New Roman" w:eastAsia="Calibri" w:hAnsi="Times New Roman" w:cs="Times New Roman"/>
                <w:sz w:val="20"/>
                <w:szCs w:val="20"/>
              </w:rPr>
              <w:t>1.</w:t>
            </w:r>
            <w:r w:rsidRPr="00EE294E">
              <w:rPr>
                <w:rFonts w:ascii="Times New Roman" w:eastAsia="Calibri" w:hAnsi="Times New Roman" w:cs="Times New Roman"/>
                <w:sz w:val="20"/>
                <w:szCs w:val="20"/>
              </w:rPr>
              <w:tab/>
              <w:t>Ky ligj hyn në fuqi 15 ditë pas botimit në Fletoren Zyrtare.</w:t>
            </w:r>
          </w:p>
          <w:p w14:paraId="16A32399" w14:textId="7A30D57C" w:rsidR="002A7599" w:rsidRPr="00EE294E" w:rsidRDefault="002A7599" w:rsidP="002A7599">
            <w:pPr>
              <w:jc w:val="both"/>
              <w:rPr>
                <w:rFonts w:ascii="Times New Roman" w:eastAsia="Calibri" w:hAnsi="Times New Roman" w:cs="Times New Roman"/>
                <w:sz w:val="20"/>
                <w:szCs w:val="20"/>
              </w:rPr>
            </w:pPr>
            <w:r w:rsidRPr="00EE294E">
              <w:rPr>
                <w:rFonts w:ascii="Times New Roman" w:eastAsia="Calibri" w:hAnsi="Times New Roman" w:cs="Times New Roman"/>
                <w:sz w:val="20"/>
                <w:szCs w:val="20"/>
              </w:rPr>
              <w:t>2.</w:t>
            </w:r>
            <w:r w:rsidRPr="00EE294E">
              <w:rPr>
                <w:rFonts w:ascii="Times New Roman" w:eastAsia="Calibri" w:hAnsi="Times New Roman" w:cs="Times New Roman"/>
                <w:sz w:val="20"/>
                <w:szCs w:val="20"/>
              </w:rPr>
              <w:tab/>
              <w:t>Efektet e këtij ligji zbatohen për shërbimet e pagesave ndërkufitare të ofruara nga 1 janari i vitit pasues të anëtarësimit të Republikës së Shqipërisë në Bashkimin Europian, duke garantuar raportimin dhe administrimin e të dhënave sipas standardeve të përcaktuara në këtë ligj.</w:t>
            </w:r>
          </w:p>
          <w:p w14:paraId="2A857D11" w14:textId="64E84D79" w:rsidR="00CC70E1" w:rsidRPr="00EE294E" w:rsidRDefault="00CC70E1">
            <w:pPr>
              <w:jc w:val="both"/>
              <w:rPr>
                <w:rFonts w:ascii="Times New Roman" w:eastAsia="Calibri" w:hAnsi="Times New Roman" w:cs="Times New Roman"/>
                <w:sz w:val="20"/>
                <w:szCs w:val="20"/>
              </w:rPr>
            </w:pPr>
          </w:p>
        </w:tc>
        <w:tc>
          <w:tcPr>
            <w:tcW w:w="720" w:type="dxa"/>
          </w:tcPr>
          <w:p w14:paraId="5E1BAD4C" w14:textId="365DF9DE" w:rsidR="003C045B" w:rsidRPr="00EE294E" w:rsidRDefault="003C045B" w:rsidP="003C045B">
            <w:pPr>
              <w:jc w:val="center"/>
              <w:rPr>
                <w:rFonts w:ascii="Times New Roman" w:eastAsia="Calibri" w:hAnsi="Times New Roman" w:cs="Times New Roman"/>
                <w:sz w:val="20"/>
                <w:szCs w:val="20"/>
                <w:lang w:val="en-US"/>
              </w:rPr>
            </w:pPr>
            <w:r w:rsidRPr="00EE294E">
              <w:rPr>
                <w:rFonts w:ascii="Times New Roman" w:eastAsia="Calibri" w:hAnsi="Times New Roman" w:cs="Times New Roman"/>
                <w:sz w:val="20"/>
                <w:szCs w:val="20"/>
              </w:rPr>
              <w:t>F</w:t>
            </w:r>
          </w:p>
        </w:tc>
        <w:tc>
          <w:tcPr>
            <w:tcW w:w="3510" w:type="dxa"/>
          </w:tcPr>
          <w:p w14:paraId="36788075" w14:textId="5C15979A" w:rsidR="003E0260" w:rsidRPr="00EE294E" w:rsidRDefault="003C045B" w:rsidP="00EE294E">
            <w:pPr>
              <w:jc w:val="both"/>
              <w:rPr>
                <w:rFonts w:ascii="Times New Roman" w:eastAsia="Times New Roman" w:hAnsi="Times New Roman" w:cs="Times New Roman"/>
                <w:sz w:val="20"/>
                <w:szCs w:val="20"/>
              </w:rPr>
            </w:pPr>
            <w:r w:rsidRPr="00EE294E">
              <w:rPr>
                <w:rFonts w:ascii="Times New Roman" w:eastAsia="Times New Roman" w:hAnsi="Times New Roman" w:cs="Times New Roman"/>
                <w:sz w:val="20"/>
                <w:szCs w:val="20"/>
              </w:rPr>
              <w:t>Neni 18 është në përputhje me Rregulloren 2020/283, Direktivën 2020/284 dhe Rregulloren Zbatuese (BE) 2022/1504 dhe praktikat ligjore vendase.</w:t>
            </w:r>
          </w:p>
          <w:p w14:paraId="75DD6926" w14:textId="4E884296" w:rsidR="003E0260" w:rsidRPr="00EE294E" w:rsidRDefault="003C045B" w:rsidP="00EE294E">
            <w:pPr>
              <w:jc w:val="both"/>
              <w:rPr>
                <w:rFonts w:ascii="Times New Roman" w:eastAsia="Times New Roman" w:hAnsi="Times New Roman" w:cs="Times New Roman"/>
                <w:sz w:val="20"/>
                <w:szCs w:val="20"/>
              </w:rPr>
            </w:pPr>
            <w:r w:rsidRPr="00EE294E">
              <w:rPr>
                <w:rFonts w:ascii="Times New Roman" w:eastAsia="Times New Roman" w:hAnsi="Times New Roman" w:cs="Times New Roman"/>
                <w:sz w:val="20"/>
                <w:szCs w:val="20"/>
              </w:rPr>
              <w:t>Ai përcakton qartë periudhën kalimtare nga hyrja në fuqi e këtij ligji sipas praktikës ligjore kombëtare deri në datën e zbatimit, që është data e anëtarësimit të Shqipërisë në BE.</w:t>
            </w:r>
          </w:p>
          <w:p w14:paraId="71B5E837" w14:textId="3784CFF1" w:rsidR="003C045B" w:rsidRPr="00EE294E" w:rsidRDefault="003C045B" w:rsidP="00EE294E">
            <w:pPr>
              <w:jc w:val="both"/>
              <w:rPr>
                <w:rFonts w:ascii="Times New Roman" w:eastAsia="Calibri" w:hAnsi="Times New Roman" w:cs="Times New Roman"/>
                <w:sz w:val="20"/>
                <w:szCs w:val="20"/>
                <w:highlight w:val="yellow"/>
              </w:rPr>
            </w:pPr>
            <w:r w:rsidRPr="00EE294E">
              <w:rPr>
                <w:rFonts w:ascii="Times New Roman" w:eastAsia="Times New Roman" w:hAnsi="Times New Roman" w:cs="Times New Roman"/>
                <w:sz w:val="20"/>
                <w:szCs w:val="20"/>
              </w:rPr>
              <w:t xml:space="preserve"> </w:t>
            </w:r>
          </w:p>
        </w:tc>
      </w:tr>
    </w:tbl>
    <w:p w14:paraId="4E2D4073" w14:textId="77777777" w:rsidR="009A20F7" w:rsidRPr="00EE294E" w:rsidRDefault="009A20F7" w:rsidP="00036F88">
      <w:pPr>
        <w:spacing w:line="240" w:lineRule="auto"/>
        <w:rPr>
          <w:rFonts w:ascii="Times New Roman" w:hAnsi="Times New Roman" w:cs="Times New Roman"/>
          <w:sz w:val="20"/>
          <w:szCs w:val="20"/>
        </w:rPr>
      </w:pPr>
    </w:p>
    <w:sectPr w:rsidR="009A20F7" w:rsidRPr="00EE294E" w:rsidSect="003F6C69">
      <w:footerReference w:type="default" r:id="rId14"/>
      <w:pgSz w:w="16838" w:h="11906" w:orient="landscape"/>
      <w:pgMar w:top="1701" w:right="1418" w:bottom="113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A6C03" w14:textId="77777777" w:rsidR="005D11C6" w:rsidRDefault="005D11C6" w:rsidP="00922FEB">
      <w:pPr>
        <w:spacing w:after="0" w:line="240" w:lineRule="auto"/>
      </w:pPr>
      <w:r>
        <w:separator/>
      </w:r>
    </w:p>
  </w:endnote>
  <w:endnote w:type="continuationSeparator" w:id="0">
    <w:p w14:paraId="45F933E9" w14:textId="77777777" w:rsidR="005D11C6" w:rsidRDefault="005D11C6" w:rsidP="00922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531F5" w14:textId="6AD31C0C" w:rsidR="00C22AC9" w:rsidRDefault="00C22AC9">
    <w:pPr>
      <w:pStyle w:val="Footer"/>
    </w:pPr>
    <w:r>
      <w:fldChar w:fldCharType="begin"/>
    </w:r>
    <w:r>
      <w:instrText>PAGE   \* MERGEFORMAT</w:instrText>
    </w:r>
    <w:r>
      <w:fldChar w:fldCharType="separate"/>
    </w:r>
    <w:r w:rsidR="00DE5D5B" w:rsidRPr="00DE5D5B">
      <w:rPr>
        <w:noProof/>
        <w:lang w:val="sq-AL"/>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1D4CE" w14:textId="77777777" w:rsidR="005D11C6" w:rsidRDefault="005D11C6" w:rsidP="00922FEB">
      <w:pPr>
        <w:spacing w:after="0" w:line="240" w:lineRule="auto"/>
      </w:pPr>
      <w:r>
        <w:separator/>
      </w:r>
    </w:p>
  </w:footnote>
  <w:footnote w:type="continuationSeparator" w:id="0">
    <w:p w14:paraId="07ADF7CA" w14:textId="77777777" w:rsidR="005D11C6" w:rsidRDefault="005D11C6" w:rsidP="00922F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D6851"/>
    <w:multiLevelType w:val="hybridMultilevel"/>
    <w:tmpl w:val="D0BE9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85226A"/>
    <w:multiLevelType w:val="hybridMultilevel"/>
    <w:tmpl w:val="130AEE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F72DB3"/>
    <w:multiLevelType w:val="hybridMultilevel"/>
    <w:tmpl w:val="BEEA935E"/>
    <w:lvl w:ilvl="0" w:tplc="0409000D">
      <w:start w:val="1"/>
      <w:numFmt w:val="bullet"/>
      <w:lvlText w:val=""/>
      <w:lvlJc w:val="left"/>
      <w:pPr>
        <w:ind w:left="856" w:hanging="360"/>
      </w:pPr>
      <w:rPr>
        <w:rFonts w:ascii="Wingdings" w:hAnsi="Wingdings" w:hint="default"/>
      </w:rPr>
    </w:lvl>
    <w:lvl w:ilvl="1" w:tplc="04090003" w:tentative="1">
      <w:start w:val="1"/>
      <w:numFmt w:val="bullet"/>
      <w:lvlText w:val="o"/>
      <w:lvlJc w:val="left"/>
      <w:pPr>
        <w:ind w:left="1576" w:hanging="360"/>
      </w:pPr>
      <w:rPr>
        <w:rFonts w:ascii="Courier New" w:hAnsi="Courier New" w:cs="Courier New" w:hint="default"/>
      </w:rPr>
    </w:lvl>
    <w:lvl w:ilvl="2" w:tplc="04090005" w:tentative="1">
      <w:start w:val="1"/>
      <w:numFmt w:val="bullet"/>
      <w:lvlText w:val=""/>
      <w:lvlJc w:val="left"/>
      <w:pPr>
        <w:ind w:left="2296" w:hanging="360"/>
      </w:pPr>
      <w:rPr>
        <w:rFonts w:ascii="Wingdings" w:hAnsi="Wingdings" w:hint="default"/>
      </w:rPr>
    </w:lvl>
    <w:lvl w:ilvl="3" w:tplc="04090001" w:tentative="1">
      <w:start w:val="1"/>
      <w:numFmt w:val="bullet"/>
      <w:lvlText w:val=""/>
      <w:lvlJc w:val="left"/>
      <w:pPr>
        <w:ind w:left="3016" w:hanging="360"/>
      </w:pPr>
      <w:rPr>
        <w:rFonts w:ascii="Symbol" w:hAnsi="Symbol" w:hint="default"/>
      </w:rPr>
    </w:lvl>
    <w:lvl w:ilvl="4" w:tplc="04090003" w:tentative="1">
      <w:start w:val="1"/>
      <w:numFmt w:val="bullet"/>
      <w:lvlText w:val="o"/>
      <w:lvlJc w:val="left"/>
      <w:pPr>
        <w:ind w:left="3736" w:hanging="360"/>
      </w:pPr>
      <w:rPr>
        <w:rFonts w:ascii="Courier New" w:hAnsi="Courier New" w:cs="Courier New" w:hint="default"/>
      </w:rPr>
    </w:lvl>
    <w:lvl w:ilvl="5" w:tplc="04090005" w:tentative="1">
      <w:start w:val="1"/>
      <w:numFmt w:val="bullet"/>
      <w:lvlText w:val=""/>
      <w:lvlJc w:val="left"/>
      <w:pPr>
        <w:ind w:left="4456" w:hanging="360"/>
      </w:pPr>
      <w:rPr>
        <w:rFonts w:ascii="Wingdings" w:hAnsi="Wingdings" w:hint="default"/>
      </w:rPr>
    </w:lvl>
    <w:lvl w:ilvl="6" w:tplc="04090001" w:tentative="1">
      <w:start w:val="1"/>
      <w:numFmt w:val="bullet"/>
      <w:lvlText w:val=""/>
      <w:lvlJc w:val="left"/>
      <w:pPr>
        <w:ind w:left="5176" w:hanging="360"/>
      </w:pPr>
      <w:rPr>
        <w:rFonts w:ascii="Symbol" w:hAnsi="Symbol" w:hint="default"/>
      </w:rPr>
    </w:lvl>
    <w:lvl w:ilvl="7" w:tplc="04090003" w:tentative="1">
      <w:start w:val="1"/>
      <w:numFmt w:val="bullet"/>
      <w:lvlText w:val="o"/>
      <w:lvlJc w:val="left"/>
      <w:pPr>
        <w:ind w:left="5896" w:hanging="360"/>
      </w:pPr>
      <w:rPr>
        <w:rFonts w:ascii="Courier New" w:hAnsi="Courier New" w:cs="Courier New" w:hint="default"/>
      </w:rPr>
    </w:lvl>
    <w:lvl w:ilvl="8" w:tplc="04090005" w:tentative="1">
      <w:start w:val="1"/>
      <w:numFmt w:val="bullet"/>
      <w:lvlText w:val=""/>
      <w:lvlJc w:val="left"/>
      <w:pPr>
        <w:ind w:left="6616" w:hanging="360"/>
      </w:pPr>
      <w:rPr>
        <w:rFonts w:ascii="Wingdings" w:hAnsi="Wingdings" w:hint="default"/>
      </w:rPr>
    </w:lvl>
  </w:abstractNum>
  <w:abstractNum w:abstractNumId="3" w15:restartNumberingAfterBreak="0">
    <w:nsid w:val="56954E9B"/>
    <w:multiLevelType w:val="multilevel"/>
    <w:tmpl w:val="AE9E73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771D6A2C"/>
    <w:multiLevelType w:val="multilevel"/>
    <w:tmpl w:val="CEA04A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216674788">
    <w:abstractNumId w:val="0"/>
  </w:num>
  <w:num w:numId="2" w16cid:durableId="1414625912">
    <w:abstractNumId w:val="4"/>
  </w:num>
  <w:num w:numId="3" w16cid:durableId="362638904">
    <w:abstractNumId w:val="3"/>
  </w:num>
  <w:num w:numId="4" w16cid:durableId="1660964373">
    <w:abstractNumId w:val="2"/>
  </w:num>
  <w:num w:numId="5" w16cid:durableId="1889561123">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7FB"/>
    <w:rsid w:val="000144FB"/>
    <w:rsid w:val="00015086"/>
    <w:rsid w:val="00016C4D"/>
    <w:rsid w:val="00017CC1"/>
    <w:rsid w:val="00020AE3"/>
    <w:rsid w:val="000339C8"/>
    <w:rsid w:val="00034129"/>
    <w:rsid w:val="00035075"/>
    <w:rsid w:val="00036F88"/>
    <w:rsid w:val="00052607"/>
    <w:rsid w:val="00052664"/>
    <w:rsid w:val="00053923"/>
    <w:rsid w:val="00062524"/>
    <w:rsid w:val="00065705"/>
    <w:rsid w:val="00075318"/>
    <w:rsid w:val="00076B31"/>
    <w:rsid w:val="00081BC1"/>
    <w:rsid w:val="00082EBC"/>
    <w:rsid w:val="00092CAE"/>
    <w:rsid w:val="00093110"/>
    <w:rsid w:val="00095ECC"/>
    <w:rsid w:val="0009621F"/>
    <w:rsid w:val="000A26EF"/>
    <w:rsid w:val="000A38FB"/>
    <w:rsid w:val="000A7EA3"/>
    <w:rsid w:val="000B014A"/>
    <w:rsid w:val="000B05B4"/>
    <w:rsid w:val="000B1124"/>
    <w:rsid w:val="000B162F"/>
    <w:rsid w:val="000B19FC"/>
    <w:rsid w:val="000B4B25"/>
    <w:rsid w:val="000B4CF9"/>
    <w:rsid w:val="000C09CF"/>
    <w:rsid w:val="000C227B"/>
    <w:rsid w:val="000C4C00"/>
    <w:rsid w:val="000D0E76"/>
    <w:rsid w:val="000D3B1C"/>
    <w:rsid w:val="000D4CD0"/>
    <w:rsid w:val="000D6E38"/>
    <w:rsid w:val="000D77FB"/>
    <w:rsid w:val="000D7CA4"/>
    <w:rsid w:val="000D7DCD"/>
    <w:rsid w:val="000E0147"/>
    <w:rsid w:val="000E1010"/>
    <w:rsid w:val="000E2BC3"/>
    <w:rsid w:val="000E4DE0"/>
    <w:rsid w:val="000E5AC4"/>
    <w:rsid w:val="000E668E"/>
    <w:rsid w:val="000E737E"/>
    <w:rsid w:val="000F50A7"/>
    <w:rsid w:val="001024E6"/>
    <w:rsid w:val="00106912"/>
    <w:rsid w:val="0010735E"/>
    <w:rsid w:val="001123ED"/>
    <w:rsid w:val="00113E0D"/>
    <w:rsid w:val="001207DE"/>
    <w:rsid w:val="00121010"/>
    <w:rsid w:val="00125EE3"/>
    <w:rsid w:val="00142D73"/>
    <w:rsid w:val="00147181"/>
    <w:rsid w:val="00147A54"/>
    <w:rsid w:val="00147BF2"/>
    <w:rsid w:val="001520C0"/>
    <w:rsid w:val="0015399E"/>
    <w:rsid w:val="00153CCC"/>
    <w:rsid w:val="00154981"/>
    <w:rsid w:val="001552C4"/>
    <w:rsid w:val="0015599D"/>
    <w:rsid w:val="00160121"/>
    <w:rsid w:val="001619E7"/>
    <w:rsid w:val="00164173"/>
    <w:rsid w:val="00167C2C"/>
    <w:rsid w:val="00170836"/>
    <w:rsid w:val="00171AE3"/>
    <w:rsid w:val="00173ECC"/>
    <w:rsid w:val="001775D3"/>
    <w:rsid w:val="00180BCF"/>
    <w:rsid w:val="00184491"/>
    <w:rsid w:val="00185FF3"/>
    <w:rsid w:val="00190654"/>
    <w:rsid w:val="0019465F"/>
    <w:rsid w:val="001A054E"/>
    <w:rsid w:val="001A1CC0"/>
    <w:rsid w:val="001A223E"/>
    <w:rsid w:val="001A240D"/>
    <w:rsid w:val="001B46A8"/>
    <w:rsid w:val="001B4AFB"/>
    <w:rsid w:val="001B4F3F"/>
    <w:rsid w:val="001B5B3A"/>
    <w:rsid w:val="001C2405"/>
    <w:rsid w:val="001D180F"/>
    <w:rsid w:val="001D413A"/>
    <w:rsid w:val="001D652C"/>
    <w:rsid w:val="001D75F8"/>
    <w:rsid w:val="001E074F"/>
    <w:rsid w:val="001E2141"/>
    <w:rsid w:val="001E566F"/>
    <w:rsid w:val="001E71E0"/>
    <w:rsid w:val="001F0349"/>
    <w:rsid w:val="001F2CB3"/>
    <w:rsid w:val="001F3413"/>
    <w:rsid w:val="001F3E2D"/>
    <w:rsid w:val="001F6E50"/>
    <w:rsid w:val="001F7BBC"/>
    <w:rsid w:val="00200996"/>
    <w:rsid w:val="00200AA9"/>
    <w:rsid w:val="00201DBB"/>
    <w:rsid w:val="00206694"/>
    <w:rsid w:val="00207E2E"/>
    <w:rsid w:val="00212234"/>
    <w:rsid w:val="00216CB5"/>
    <w:rsid w:val="00217FFD"/>
    <w:rsid w:val="00226B07"/>
    <w:rsid w:val="00237085"/>
    <w:rsid w:val="00237F57"/>
    <w:rsid w:val="00241058"/>
    <w:rsid w:val="00241DAE"/>
    <w:rsid w:val="00242D3A"/>
    <w:rsid w:val="00243A1A"/>
    <w:rsid w:val="0024728F"/>
    <w:rsid w:val="00247573"/>
    <w:rsid w:val="00250974"/>
    <w:rsid w:val="00250B34"/>
    <w:rsid w:val="0025683B"/>
    <w:rsid w:val="00260632"/>
    <w:rsid w:val="00261EE3"/>
    <w:rsid w:val="00262E99"/>
    <w:rsid w:val="002652D5"/>
    <w:rsid w:val="00265C53"/>
    <w:rsid w:val="002675D8"/>
    <w:rsid w:val="00271F5B"/>
    <w:rsid w:val="00273323"/>
    <w:rsid w:val="00275D17"/>
    <w:rsid w:val="00282FA2"/>
    <w:rsid w:val="00287B86"/>
    <w:rsid w:val="00287D1E"/>
    <w:rsid w:val="002973DE"/>
    <w:rsid w:val="002A2DF8"/>
    <w:rsid w:val="002A59EF"/>
    <w:rsid w:val="002A7599"/>
    <w:rsid w:val="002B02E4"/>
    <w:rsid w:val="002B05FD"/>
    <w:rsid w:val="002B3D21"/>
    <w:rsid w:val="002B44A1"/>
    <w:rsid w:val="002B731D"/>
    <w:rsid w:val="002C1FF8"/>
    <w:rsid w:val="002C6E4F"/>
    <w:rsid w:val="002C733F"/>
    <w:rsid w:val="002D0742"/>
    <w:rsid w:val="002D2221"/>
    <w:rsid w:val="002D529D"/>
    <w:rsid w:val="002D574D"/>
    <w:rsid w:val="002D7B34"/>
    <w:rsid w:val="002E13E3"/>
    <w:rsid w:val="002E6526"/>
    <w:rsid w:val="002F2826"/>
    <w:rsid w:val="002F76DE"/>
    <w:rsid w:val="00301958"/>
    <w:rsid w:val="0030526E"/>
    <w:rsid w:val="00306D32"/>
    <w:rsid w:val="00310B3D"/>
    <w:rsid w:val="0031114B"/>
    <w:rsid w:val="003116B5"/>
    <w:rsid w:val="0031566F"/>
    <w:rsid w:val="00317005"/>
    <w:rsid w:val="00322C4F"/>
    <w:rsid w:val="003275AB"/>
    <w:rsid w:val="00332366"/>
    <w:rsid w:val="00332AE4"/>
    <w:rsid w:val="003344C0"/>
    <w:rsid w:val="00335C48"/>
    <w:rsid w:val="00344587"/>
    <w:rsid w:val="00345085"/>
    <w:rsid w:val="0035145A"/>
    <w:rsid w:val="003518E4"/>
    <w:rsid w:val="003541B4"/>
    <w:rsid w:val="00357D61"/>
    <w:rsid w:val="00364559"/>
    <w:rsid w:val="0037327C"/>
    <w:rsid w:val="00374572"/>
    <w:rsid w:val="00381019"/>
    <w:rsid w:val="00391383"/>
    <w:rsid w:val="003927C4"/>
    <w:rsid w:val="00395E2E"/>
    <w:rsid w:val="003A75B8"/>
    <w:rsid w:val="003B191B"/>
    <w:rsid w:val="003B7C4A"/>
    <w:rsid w:val="003C045B"/>
    <w:rsid w:val="003C1E87"/>
    <w:rsid w:val="003C2EAB"/>
    <w:rsid w:val="003C3D4C"/>
    <w:rsid w:val="003C4AC6"/>
    <w:rsid w:val="003C63BE"/>
    <w:rsid w:val="003C79E1"/>
    <w:rsid w:val="003D4694"/>
    <w:rsid w:val="003D7B59"/>
    <w:rsid w:val="003E0260"/>
    <w:rsid w:val="003E2711"/>
    <w:rsid w:val="003F12A2"/>
    <w:rsid w:val="003F6C69"/>
    <w:rsid w:val="004003B3"/>
    <w:rsid w:val="00400C6E"/>
    <w:rsid w:val="004020E6"/>
    <w:rsid w:val="0040246D"/>
    <w:rsid w:val="004024D0"/>
    <w:rsid w:val="00405A74"/>
    <w:rsid w:val="00410A88"/>
    <w:rsid w:val="00415BDC"/>
    <w:rsid w:val="004164B2"/>
    <w:rsid w:val="00416E2E"/>
    <w:rsid w:val="00417273"/>
    <w:rsid w:val="004224EA"/>
    <w:rsid w:val="0042577F"/>
    <w:rsid w:val="00427624"/>
    <w:rsid w:val="00427E4C"/>
    <w:rsid w:val="00427EE2"/>
    <w:rsid w:val="0043228D"/>
    <w:rsid w:val="00433DB0"/>
    <w:rsid w:val="004457A1"/>
    <w:rsid w:val="00450C23"/>
    <w:rsid w:val="00451218"/>
    <w:rsid w:val="00451313"/>
    <w:rsid w:val="004570E7"/>
    <w:rsid w:val="00463860"/>
    <w:rsid w:val="00463D26"/>
    <w:rsid w:val="0047211B"/>
    <w:rsid w:val="00472C5C"/>
    <w:rsid w:val="004738EE"/>
    <w:rsid w:val="004745E6"/>
    <w:rsid w:val="00476A5C"/>
    <w:rsid w:val="004812F5"/>
    <w:rsid w:val="004816E5"/>
    <w:rsid w:val="004833A3"/>
    <w:rsid w:val="00497724"/>
    <w:rsid w:val="004A1713"/>
    <w:rsid w:val="004A36CD"/>
    <w:rsid w:val="004A4B29"/>
    <w:rsid w:val="004B6946"/>
    <w:rsid w:val="004B7E97"/>
    <w:rsid w:val="004B7F04"/>
    <w:rsid w:val="004C2EE7"/>
    <w:rsid w:val="004D0576"/>
    <w:rsid w:val="004D36D7"/>
    <w:rsid w:val="004D3792"/>
    <w:rsid w:val="004D4A5A"/>
    <w:rsid w:val="004E2956"/>
    <w:rsid w:val="004E30E5"/>
    <w:rsid w:val="004E4138"/>
    <w:rsid w:val="004F0084"/>
    <w:rsid w:val="004F0109"/>
    <w:rsid w:val="004F2266"/>
    <w:rsid w:val="004F27D1"/>
    <w:rsid w:val="004F5B78"/>
    <w:rsid w:val="004F619A"/>
    <w:rsid w:val="004F7895"/>
    <w:rsid w:val="005002A2"/>
    <w:rsid w:val="005007CA"/>
    <w:rsid w:val="0050266C"/>
    <w:rsid w:val="00502F25"/>
    <w:rsid w:val="0050578D"/>
    <w:rsid w:val="00510FD6"/>
    <w:rsid w:val="005222ED"/>
    <w:rsid w:val="005227EA"/>
    <w:rsid w:val="00523BD5"/>
    <w:rsid w:val="00532F36"/>
    <w:rsid w:val="00536BD1"/>
    <w:rsid w:val="00542046"/>
    <w:rsid w:val="00542B90"/>
    <w:rsid w:val="00544726"/>
    <w:rsid w:val="00545293"/>
    <w:rsid w:val="00555B0E"/>
    <w:rsid w:val="00561970"/>
    <w:rsid w:val="00562EF5"/>
    <w:rsid w:val="0056390B"/>
    <w:rsid w:val="005721F0"/>
    <w:rsid w:val="005739CF"/>
    <w:rsid w:val="005740C8"/>
    <w:rsid w:val="005772F5"/>
    <w:rsid w:val="00577C97"/>
    <w:rsid w:val="0058092D"/>
    <w:rsid w:val="00581189"/>
    <w:rsid w:val="0059538D"/>
    <w:rsid w:val="005A3A0B"/>
    <w:rsid w:val="005C2C12"/>
    <w:rsid w:val="005C5778"/>
    <w:rsid w:val="005D11C6"/>
    <w:rsid w:val="005D2CA7"/>
    <w:rsid w:val="005D51C1"/>
    <w:rsid w:val="005D6115"/>
    <w:rsid w:val="005D7747"/>
    <w:rsid w:val="005E10BC"/>
    <w:rsid w:val="005E5DCC"/>
    <w:rsid w:val="005E65A8"/>
    <w:rsid w:val="005E6AA8"/>
    <w:rsid w:val="005F1B9C"/>
    <w:rsid w:val="005F434C"/>
    <w:rsid w:val="005F57EB"/>
    <w:rsid w:val="0061684B"/>
    <w:rsid w:val="00617362"/>
    <w:rsid w:val="00623590"/>
    <w:rsid w:val="00627580"/>
    <w:rsid w:val="0063030D"/>
    <w:rsid w:val="006310DD"/>
    <w:rsid w:val="00632923"/>
    <w:rsid w:val="00635147"/>
    <w:rsid w:val="0064231D"/>
    <w:rsid w:val="006444CD"/>
    <w:rsid w:val="00651851"/>
    <w:rsid w:val="00652429"/>
    <w:rsid w:val="00657867"/>
    <w:rsid w:val="0066027E"/>
    <w:rsid w:val="006618BF"/>
    <w:rsid w:val="00666B47"/>
    <w:rsid w:val="0067247A"/>
    <w:rsid w:val="006726C3"/>
    <w:rsid w:val="00672C4E"/>
    <w:rsid w:val="00676111"/>
    <w:rsid w:val="0067730A"/>
    <w:rsid w:val="006774B8"/>
    <w:rsid w:val="00695317"/>
    <w:rsid w:val="006953D8"/>
    <w:rsid w:val="006A09C7"/>
    <w:rsid w:val="006A2D4D"/>
    <w:rsid w:val="006B0D0A"/>
    <w:rsid w:val="006B323C"/>
    <w:rsid w:val="006B7ABD"/>
    <w:rsid w:val="006C1477"/>
    <w:rsid w:val="006C1526"/>
    <w:rsid w:val="006C1BCA"/>
    <w:rsid w:val="006C4222"/>
    <w:rsid w:val="006C7B60"/>
    <w:rsid w:val="006D6109"/>
    <w:rsid w:val="006D648E"/>
    <w:rsid w:val="006E7359"/>
    <w:rsid w:val="006E7F7A"/>
    <w:rsid w:val="006E7FA1"/>
    <w:rsid w:val="006F2527"/>
    <w:rsid w:val="006F2F12"/>
    <w:rsid w:val="007006CF"/>
    <w:rsid w:val="00700F75"/>
    <w:rsid w:val="007022FA"/>
    <w:rsid w:val="0070240D"/>
    <w:rsid w:val="007045CF"/>
    <w:rsid w:val="00705280"/>
    <w:rsid w:val="00706107"/>
    <w:rsid w:val="0071079D"/>
    <w:rsid w:val="00710999"/>
    <w:rsid w:val="00714B51"/>
    <w:rsid w:val="007155A5"/>
    <w:rsid w:val="00717DF3"/>
    <w:rsid w:val="00720B64"/>
    <w:rsid w:val="0072295D"/>
    <w:rsid w:val="00723BB2"/>
    <w:rsid w:val="00724305"/>
    <w:rsid w:val="007251FA"/>
    <w:rsid w:val="007277B4"/>
    <w:rsid w:val="00732339"/>
    <w:rsid w:val="00737236"/>
    <w:rsid w:val="00745147"/>
    <w:rsid w:val="007462E6"/>
    <w:rsid w:val="00746656"/>
    <w:rsid w:val="00746E74"/>
    <w:rsid w:val="00746F5E"/>
    <w:rsid w:val="007556BD"/>
    <w:rsid w:val="00757BFC"/>
    <w:rsid w:val="00760A37"/>
    <w:rsid w:val="0076650E"/>
    <w:rsid w:val="00766567"/>
    <w:rsid w:val="00766639"/>
    <w:rsid w:val="007668CC"/>
    <w:rsid w:val="007731D9"/>
    <w:rsid w:val="007743FD"/>
    <w:rsid w:val="00775A2D"/>
    <w:rsid w:val="0077636B"/>
    <w:rsid w:val="00794E58"/>
    <w:rsid w:val="00797182"/>
    <w:rsid w:val="007A1544"/>
    <w:rsid w:val="007A1CE1"/>
    <w:rsid w:val="007A24BB"/>
    <w:rsid w:val="007A3FF9"/>
    <w:rsid w:val="007A64BB"/>
    <w:rsid w:val="007B00C7"/>
    <w:rsid w:val="007C025E"/>
    <w:rsid w:val="007C1261"/>
    <w:rsid w:val="007C217F"/>
    <w:rsid w:val="007C23D6"/>
    <w:rsid w:val="007C3F0C"/>
    <w:rsid w:val="007C509C"/>
    <w:rsid w:val="007C5223"/>
    <w:rsid w:val="007C6B72"/>
    <w:rsid w:val="007D6215"/>
    <w:rsid w:val="007D6CB1"/>
    <w:rsid w:val="007E346B"/>
    <w:rsid w:val="007E431F"/>
    <w:rsid w:val="007E488D"/>
    <w:rsid w:val="007F0768"/>
    <w:rsid w:val="007F323E"/>
    <w:rsid w:val="007F5D33"/>
    <w:rsid w:val="008018C3"/>
    <w:rsid w:val="008028C2"/>
    <w:rsid w:val="0080541B"/>
    <w:rsid w:val="00807CA3"/>
    <w:rsid w:val="00816168"/>
    <w:rsid w:val="00830C09"/>
    <w:rsid w:val="00835CD6"/>
    <w:rsid w:val="008363D3"/>
    <w:rsid w:val="00840BC8"/>
    <w:rsid w:val="0084519E"/>
    <w:rsid w:val="008456D9"/>
    <w:rsid w:val="0085013E"/>
    <w:rsid w:val="00854007"/>
    <w:rsid w:val="0085501A"/>
    <w:rsid w:val="00857138"/>
    <w:rsid w:val="00861003"/>
    <w:rsid w:val="008656B2"/>
    <w:rsid w:val="00865C4F"/>
    <w:rsid w:val="008723DD"/>
    <w:rsid w:val="00873B84"/>
    <w:rsid w:val="00874BD7"/>
    <w:rsid w:val="00880C14"/>
    <w:rsid w:val="008829C8"/>
    <w:rsid w:val="00883E0C"/>
    <w:rsid w:val="00886049"/>
    <w:rsid w:val="00886459"/>
    <w:rsid w:val="0088678D"/>
    <w:rsid w:val="008876A4"/>
    <w:rsid w:val="0089224E"/>
    <w:rsid w:val="00893FC5"/>
    <w:rsid w:val="008A3696"/>
    <w:rsid w:val="008A5926"/>
    <w:rsid w:val="008A607A"/>
    <w:rsid w:val="008B055C"/>
    <w:rsid w:val="008B39B5"/>
    <w:rsid w:val="008B6E7F"/>
    <w:rsid w:val="008C06D1"/>
    <w:rsid w:val="008C4514"/>
    <w:rsid w:val="008C6992"/>
    <w:rsid w:val="008C7CE9"/>
    <w:rsid w:val="008D5CE4"/>
    <w:rsid w:val="008D5DD4"/>
    <w:rsid w:val="008E267F"/>
    <w:rsid w:val="008E382D"/>
    <w:rsid w:val="008E5E6C"/>
    <w:rsid w:val="008F7A0F"/>
    <w:rsid w:val="00900733"/>
    <w:rsid w:val="00902238"/>
    <w:rsid w:val="0090345E"/>
    <w:rsid w:val="00903483"/>
    <w:rsid w:val="009116FC"/>
    <w:rsid w:val="00914927"/>
    <w:rsid w:val="00916618"/>
    <w:rsid w:val="009173E9"/>
    <w:rsid w:val="00922FEB"/>
    <w:rsid w:val="0093106A"/>
    <w:rsid w:val="00931B73"/>
    <w:rsid w:val="009363ED"/>
    <w:rsid w:val="00937073"/>
    <w:rsid w:val="0093777F"/>
    <w:rsid w:val="0094134A"/>
    <w:rsid w:val="00943DF9"/>
    <w:rsid w:val="0094413A"/>
    <w:rsid w:val="00946891"/>
    <w:rsid w:val="00950BE7"/>
    <w:rsid w:val="0095143E"/>
    <w:rsid w:val="00952ABD"/>
    <w:rsid w:val="00954EFF"/>
    <w:rsid w:val="00956D2D"/>
    <w:rsid w:val="00961CE2"/>
    <w:rsid w:val="009669F8"/>
    <w:rsid w:val="00973DF3"/>
    <w:rsid w:val="009740A1"/>
    <w:rsid w:val="009770D2"/>
    <w:rsid w:val="00977865"/>
    <w:rsid w:val="00983669"/>
    <w:rsid w:val="009837C8"/>
    <w:rsid w:val="00984729"/>
    <w:rsid w:val="0098588B"/>
    <w:rsid w:val="00990A3C"/>
    <w:rsid w:val="009913A5"/>
    <w:rsid w:val="009930BD"/>
    <w:rsid w:val="0099499F"/>
    <w:rsid w:val="00996667"/>
    <w:rsid w:val="009A05BF"/>
    <w:rsid w:val="009A0775"/>
    <w:rsid w:val="009A20F7"/>
    <w:rsid w:val="009A70F7"/>
    <w:rsid w:val="009B2315"/>
    <w:rsid w:val="009C1F2B"/>
    <w:rsid w:val="009C21F1"/>
    <w:rsid w:val="009C4544"/>
    <w:rsid w:val="009C4AB8"/>
    <w:rsid w:val="009C6155"/>
    <w:rsid w:val="009C71E4"/>
    <w:rsid w:val="009D0B38"/>
    <w:rsid w:val="009D14DE"/>
    <w:rsid w:val="009D229A"/>
    <w:rsid w:val="009D26C0"/>
    <w:rsid w:val="009D4DDC"/>
    <w:rsid w:val="009D64A3"/>
    <w:rsid w:val="009D685C"/>
    <w:rsid w:val="009E08DD"/>
    <w:rsid w:val="009E1546"/>
    <w:rsid w:val="009E258B"/>
    <w:rsid w:val="009E29DA"/>
    <w:rsid w:val="009E4A2F"/>
    <w:rsid w:val="009E6BD3"/>
    <w:rsid w:val="009F0018"/>
    <w:rsid w:val="009F018B"/>
    <w:rsid w:val="009F0E45"/>
    <w:rsid w:val="009F4771"/>
    <w:rsid w:val="00A106AB"/>
    <w:rsid w:val="00A10ABB"/>
    <w:rsid w:val="00A11922"/>
    <w:rsid w:val="00A12F75"/>
    <w:rsid w:val="00A22CD6"/>
    <w:rsid w:val="00A231BF"/>
    <w:rsid w:val="00A23CE3"/>
    <w:rsid w:val="00A25D4A"/>
    <w:rsid w:val="00A26684"/>
    <w:rsid w:val="00A26FC2"/>
    <w:rsid w:val="00A34557"/>
    <w:rsid w:val="00A345DE"/>
    <w:rsid w:val="00A43694"/>
    <w:rsid w:val="00A43EA9"/>
    <w:rsid w:val="00A51E4E"/>
    <w:rsid w:val="00A570A7"/>
    <w:rsid w:val="00A57D3C"/>
    <w:rsid w:val="00A61AEB"/>
    <w:rsid w:val="00A625F8"/>
    <w:rsid w:val="00A64D34"/>
    <w:rsid w:val="00A70E48"/>
    <w:rsid w:val="00A761D4"/>
    <w:rsid w:val="00A7637A"/>
    <w:rsid w:val="00A7784E"/>
    <w:rsid w:val="00A8172F"/>
    <w:rsid w:val="00A832A6"/>
    <w:rsid w:val="00A835CB"/>
    <w:rsid w:val="00A8449D"/>
    <w:rsid w:val="00A846ED"/>
    <w:rsid w:val="00A851A8"/>
    <w:rsid w:val="00A92B22"/>
    <w:rsid w:val="00A93747"/>
    <w:rsid w:val="00A96A0F"/>
    <w:rsid w:val="00A96B7A"/>
    <w:rsid w:val="00A96FAA"/>
    <w:rsid w:val="00A97EC9"/>
    <w:rsid w:val="00AA1B31"/>
    <w:rsid w:val="00AA2A3A"/>
    <w:rsid w:val="00AA68CF"/>
    <w:rsid w:val="00AA7B86"/>
    <w:rsid w:val="00AB0BE6"/>
    <w:rsid w:val="00AB296B"/>
    <w:rsid w:val="00AB4788"/>
    <w:rsid w:val="00AC14A5"/>
    <w:rsid w:val="00AC3A97"/>
    <w:rsid w:val="00AC3DAE"/>
    <w:rsid w:val="00AC4CF3"/>
    <w:rsid w:val="00AC59BE"/>
    <w:rsid w:val="00AD0ED0"/>
    <w:rsid w:val="00AD0F34"/>
    <w:rsid w:val="00AD5C20"/>
    <w:rsid w:val="00AD6055"/>
    <w:rsid w:val="00AD7342"/>
    <w:rsid w:val="00AD7C53"/>
    <w:rsid w:val="00AE3E8F"/>
    <w:rsid w:val="00AE5216"/>
    <w:rsid w:val="00AF0520"/>
    <w:rsid w:val="00AF1AA4"/>
    <w:rsid w:val="00AF1DCF"/>
    <w:rsid w:val="00AF2598"/>
    <w:rsid w:val="00AF3271"/>
    <w:rsid w:val="00AF477D"/>
    <w:rsid w:val="00AF7139"/>
    <w:rsid w:val="00B007CB"/>
    <w:rsid w:val="00B03A2F"/>
    <w:rsid w:val="00B058FC"/>
    <w:rsid w:val="00B114DB"/>
    <w:rsid w:val="00B15547"/>
    <w:rsid w:val="00B15EDC"/>
    <w:rsid w:val="00B1652A"/>
    <w:rsid w:val="00B16F37"/>
    <w:rsid w:val="00B17414"/>
    <w:rsid w:val="00B21860"/>
    <w:rsid w:val="00B25191"/>
    <w:rsid w:val="00B255FB"/>
    <w:rsid w:val="00B259CE"/>
    <w:rsid w:val="00B306D3"/>
    <w:rsid w:val="00B353DE"/>
    <w:rsid w:val="00B37AA1"/>
    <w:rsid w:val="00B402DD"/>
    <w:rsid w:val="00B503DF"/>
    <w:rsid w:val="00B5370F"/>
    <w:rsid w:val="00B63161"/>
    <w:rsid w:val="00B6607B"/>
    <w:rsid w:val="00B6709E"/>
    <w:rsid w:val="00B70DBE"/>
    <w:rsid w:val="00B72C75"/>
    <w:rsid w:val="00B76DBB"/>
    <w:rsid w:val="00B909DA"/>
    <w:rsid w:val="00B96DD0"/>
    <w:rsid w:val="00BA5747"/>
    <w:rsid w:val="00BA7CDB"/>
    <w:rsid w:val="00BB2ED5"/>
    <w:rsid w:val="00BC3517"/>
    <w:rsid w:val="00BD1B8F"/>
    <w:rsid w:val="00BD3625"/>
    <w:rsid w:val="00BD7236"/>
    <w:rsid w:val="00BE2ADC"/>
    <w:rsid w:val="00BE44C9"/>
    <w:rsid w:val="00BE4C18"/>
    <w:rsid w:val="00BE7055"/>
    <w:rsid w:val="00BF173E"/>
    <w:rsid w:val="00BF18F7"/>
    <w:rsid w:val="00BF44E2"/>
    <w:rsid w:val="00BF5500"/>
    <w:rsid w:val="00BF76F8"/>
    <w:rsid w:val="00C0015B"/>
    <w:rsid w:val="00C04EE6"/>
    <w:rsid w:val="00C04FDF"/>
    <w:rsid w:val="00C0516B"/>
    <w:rsid w:val="00C11ACA"/>
    <w:rsid w:val="00C155F2"/>
    <w:rsid w:val="00C22AC9"/>
    <w:rsid w:val="00C23FE6"/>
    <w:rsid w:val="00C32352"/>
    <w:rsid w:val="00C327BA"/>
    <w:rsid w:val="00C34A80"/>
    <w:rsid w:val="00C355B7"/>
    <w:rsid w:val="00C378C4"/>
    <w:rsid w:val="00C45CE8"/>
    <w:rsid w:val="00C46499"/>
    <w:rsid w:val="00C52639"/>
    <w:rsid w:val="00C52BF2"/>
    <w:rsid w:val="00C54DF6"/>
    <w:rsid w:val="00C60A86"/>
    <w:rsid w:val="00C63F93"/>
    <w:rsid w:val="00C64C7A"/>
    <w:rsid w:val="00C66519"/>
    <w:rsid w:val="00C714C9"/>
    <w:rsid w:val="00C72765"/>
    <w:rsid w:val="00C77055"/>
    <w:rsid w:val="00C815F0"/>
    <w:rsid w:val="00C82DD3"/>
    <w:rsid w:val="00C85409"/>
    <w:rsid w:val="00C86A4A"/>
    <w:rsid w:val="00C913FB"/>
    <w:rsid w:val="00C93E05"/>
    <w:rsid w:val="00C9465F"/>
    <w:rsid w:val="00C947F4"/>
    <w:rsid w:val="00CA00ED"/>
    <w:rsid w:val="00CA04A6"/>
    <w:rsid w:val="00CA069C"/>
    <w:rsid w:val="00CA1C4C"/>
    <w:rsid w:val="00CA76DC"/>
    <w:rsid w:val="00CB0400"/>
    <w:rsid w:val="00CB0A79"/>
    <w:rsid w:val="00CB119E"/>
    <w:rsid w:val="00CB4834"/>
    <w:rsid w:val="00CB6827"/>
    <w:rsid w:val="00CB7E55"/>
    <w:rsid w:val="00CC0BDE"/>
    <w:rsid w:val="00CC146E"/>
    <w:rsid w:val="00CC583E"/>
    <w:rsid w:val="00CC70E1"/>
    <w:rsid w:val="00CD074A"/>
    <w:rsid w:val="00CD0902"/>
    <w:rsid w:val="00CD260C"/>
    <w:rsid w:val="00CD3FEC"/>
    <w:rsid w:val="00CD42B9"/>
    <w:rsid w:val="00CD6E0B"/>
    <w:rsid w:val="00CE37E5"/>
    <w:rsid w:val="00CE58C1"/>
    <w:rsid w:val="00CE707E"/>
    <w:rsid w:val="00CF2539"/>
    <w:rsid w:val="00D00AE0"/>
    <w:rsid w:val="00D0274A"/>
    <w:rsid w:val="00D1104B"/>
    <w:rsid w:val="00D15D65"/>
    <w:rsid w:val="00D174D0"/>
    <w:rsid w:val="00D17890"/>
    <w:rsid w:val="00D24852"/>
    <w:rsid w:val="00D2602E"/>
    <w:rsid w:val="00D27C06"/>
    <w:rsid w:val="00D35B3D"/>
    <w:rsid w:val="00D360C2"/>
    <w:rsid w:val="00D41BE4"/>
    <w:rsid w:val="00D429B0"/>
    <w:rsid w:val="00D43E43"/>
    <w:rsid w:val="00D44638"/>
    <w:rsid w:val="00D47DA4"/>
    <w:rsid w:val="00D47FB4"/>
    <w:rsid w:val="00D50C6D"/>
    <w:rsid w:val="00D5103B"/>
    <w:rsid w:val="00D531BA"/>
    <w:rsid w:val="00D5354C"/>
    <w:rsid w:val="00D567C3"/>
    <w:rsid w:val="00D61709"/>
    <w:rsid w:val="00D622C1"/>
    <w:rsid w:val="00D62947"/>
    <w:rsid w:val="00D63898"/>
    <w:rsid w:val="00D64B2B"/>
    <w:rsid w:val="00D6605E"/>
    <w:rsid w:val="00D76C5B"/>
    <w:rsid w:val="00D779F7"/>
    <w:rsid w:val="00D82EC3"/>
    <w:rsid w:val="00D838DF"/>
    <w:rsid w:val="00D83F54"/>
    <w:rsid w:val="00D87421"/>
    <w:rsid w:val="00D94863"/>
    <w:rsid w:val="00D97008"/>
    <w:rsid w:val="00DA047A"/>
    <w:rsid w:val="00DA1204"/>
    <w:rsid w:val="00DA2762"/>
    <w:rsid w:val="00DA36BF"/>
    <w:rsid w:val="00DA6234"/>
    <w:rsid w:val="00DB0BB8"/>
    <w:rsid w:val="00DB1374"/>
    <w:rsid w:val="00DB377A"/>
    <w:rsid w:val="00DB5EA5"/>
    <w:rsid w:val="00DB7D40"/>
    <w:rsid w:val="00DC032B"/>
    <w:rsid w:val="00DC1794"/>
    <w:rsid w:val="00DC1EF3"/>
    <w:rsid w:val="00DC43ED"/>
    <w:rsid w:val="00DD0E9B"/>
    <w:rsid w:val="00DD36A7"/>
    <w:rsid w:val="00DD3DDA"/>
    <w:rsid w:val="00DD48A5"/>
    <w:rsid w:val="00DD54E0"/>
    <w:rsid w:val="00DE0020"/>
    <w:rsid w:val="00DE178C"/>
    <w:rsid w:val="00DE1D10"/>
    <w:rsid w:val="00DE4307"/>
    <w:rsid w:val="00DE4DCE"/>
    <w:rsid w:val="00DE5D5B"/>
    <w:rsid w:val="00DE6956"/>
    <w:rsid w:val="00DF3533"/>
    <w:rsid w:val="00DF42C2"/>
    <w:rsid w:val="00DF520A"/>
    <w:rsid w:val="00DF55CE"/>
    <w:rsid w:val="00DF7851"/>
    <w:rsid w:val="00E0142F"/>
    <w:rsid w:val="00E0229B"/>
    <w:rsid w:val="00E0351F"/>
    <w:rsid w:val="00E036DD"/>
    <w:rsid w:val="00E04699"/>
    <w:rsid w:val="00E1458D"/>
    <w:rsid w:val="00E15A6A"/>
    <w:rsid w:val="00E17299"/>
    <w:rsid w:val="00E17D54"/>
    <w:rsid w:val="00E17EDB"/>
    <w:rsid w:val="00E23BFE"/>
    <w:rsid w:val="00E24383"/>
    <w:rsid w:val="00E260AB"/>
    <w:rsid w:val="00E27885"/>
    <w:rsid w:val="00E27D40"/>
    <w:rsid w:val="00E316B8"/>
    <w:rsid w:val="00E37B3A"/>
    <w:rsid w:val="00E4179D"/>
    <w:rsid w:val="00E43433"/>
    <w:rsid w:val="00E43EC9"/>
    <w:rsid w:val="00E44329"/>
    <w:rsid w:val="00E45EE8"/>
    <w:rsid w:val="00E519B9"/>
    <w:rsid w:val="00E540A1"/>
    <w:rsid w:val="00E55097"/>
    <w:rsid w:val="00E55E51"/>
    <w:rsid w:val="00E571EA"/>
    <w:rsid w:val="00E6089F"/>
    <w:rsid w:val="00E609B5"/>
    <w:rsid w:val="00E60B27"/>
    <w:rsid w:val="00E669C9"/>
    <w:rsid w:val="00E706E1"/>
    <w:rsid w:val="00E7109E"/>
    <w:rsid w:val="00E71541"/>
    <w:rsid w:val="00E72A44"/>
    <w:rsid w:val="00E80D7B"/>
    <w:rsid w:val="00E83899"/>
    <w:rsid w:val="00E8462D"/>
    <w:rsid w:val="00E87546"/>
    <w:rsid w:val="00E9084B"/>
    <w:rsid w:val="00E95C28"/>
    <w:rsid w:val="00E960C8"/>
    <w:rsid w:val="00E96B23"/>
    <w:rsid w:val="00EA5226"/>
    <w:rsid w:val="00EB212D"/>
    <w:rsid w:val="00EB7E72"/>
    <w:rsid w:val="00EC3375"/>
    <w:rsid w:val="00EC3FD8"/>
    <w:rsid w:val="00EC4D26"/>
    <w:rsid w:val="00EC5EDE"/>
    <w:rsid w:val="00EC6441"/>
    <w:rsid w:val="00ED0068"/>
    <w:rsid w:val="00ED4F81"/>
    <w:rsid w:val="00EE0155"/>
    <w:rsid w:val="00EE294E"/>
    <w:rsid w:val="00EE46E6"/>
    <w:rsid w:val="00EE644B"/>
    <w:rsid w:val="00EE66CC"/>
    <w:rsid w:val="00EF06F3"/>
    <w:rsid w:val="00EF287B"/>
    <w:rsid w:val="00EF4510"/>
    <w:rsid w:val="00EF5C3B"/>
    <w:rsid w:val="00F01B90"/>
    <w:rsid w:val="00F024B2"/>
    <w:rsid w:val="00F04225"/>
    <w:rsid w:val="00F04D6F"/>
    <w:rsid w:val="00F07018"/>
    <w:rsid w:val="00F103E1"/>
    <w:rsid w:val="00F1494A"/>
    <w:rsid w:val="00F20FBB"/>
    <w:rsid w:val="00F24589"/>
    <w:rsid w:val="00F248C7"/>
    <w:rsid w:val="00F25125"/>
    <w:rsid w:val="00F320F0"/>
    <w:rsid w:val="00F4007B"/>
    <w:rsid w:val="00F4245C"/>
    <w:rsid w:val="00F43325"/>
    <w:rsid w:val="00F45D2D"/>
    <w:rsid w:val="00F52149"/>
    <w:rsid w:val="00F52F64"/>
    <w:rsid w:val="00F714DD"/>
    <w:rsid w:val="00F72A00"/>
    <w:rsid w:val="00F74957"/>
    <w:rsid w:val="00F85F25"/>
    <w:rsid w:val="00F91685"/>
    <w:rsid w:val="00F9184B"/>
    <w:rsid w:val="00F9523D"/>
    <w:rsid w:val="00FA34C6"/>
    <w:rsid w:val="00FA7216"/>
    <w:rsid w:val="00FB1F82"/>
    <w:rsid w:val="00FB42CE"/>
    <w:rsid w:val="00FB488E"/>
    <w:rsid w:val="00FB71AF"/>
    <w:rsid w:val="00FB7673"/>
    <w:rsid w:val="00FC0B94"/>
    <w:rsid w:val="00FC2BF7"/>
    <w:rsid w:val="00FC5D1C"/>
    <w:rsid w:val="00FC6541"/>
    <w:rsid w:val="00FD6B7D"/>
    <w:rsid w:val="00FD73AD"/>
    <w:rsid w:val="00FE4A52"/>
    <w:rsid w:val="00FE74CD"/>
    <w:rsid w:val="00FE7A0A"/>
    <w:rsid w:val="00FF2543"/>
    <w:rsid w:val="00FF3DCD"/>
    <w:rsid w:val="00FF6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514FA"/>
  <w15:chartTrackingRefBased/>
  <w15:docId w15:val="{B52E403B-F9E8-4713-A1EB-095CC8C76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q"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64A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42D3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519B9"/>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2FE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922FEB"/>
    <w:rPr>
      <w:color w:val="0000FF"/>
      <w:u w:val="single"/>
    </w:rPr>
  </w:style>
  <w:style w:type="character" w:customStyle="1" w:styleId="FollowedHyperlink1">
    <w:name w:val="FollowedHyperlink1"/>
    <w:basedOn w:val="DefaultParagraphFont"/>
    <w:uiPriority w:val="99"/>
    <w:semiHidden/>
    <w:unhideWhenUsed/>
    <w:rsid w:val="00922FEB"/>
    <w:rPr>
      <w:color w:val="800080"/>
      <w:u w:val="single"/>
    </w:rPr>
  </w:style>
  <w:style w:type="paragraph" w:styleId="FootnoteText">
    <w:name w:val="footnote text"/>
    <w:basedOn w:val="Normal"/>
    <w:link w:val="FootnoteTextChar"/>
    <w:uiPriority w:val="99"/>
    <w:semiHidden/>
    <w:unhideWhenUsed/>
    <w:rsid w:val="00922FEB"/>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922FEB"/>
    <w:rPr>
      <w:kern w:val="0"/>
      <w:sz w:val="20"/>
      <w:szCs w:val="20"/>
      <w:lang w:val="sq"/>
      <w14:ligatures w14:val="none"/>
    </w:rPr>
  </w:style>
  <w:style w:type="character" w:styleId="FootnoteReference">
    <w:name w:val="footnote reference"/>
    <w:basedOn w:val="DefaultParagraphFont"/>
    <w:uiPriority w:val="99"/>
    <w:semiHidden/>
    <w:unhideWhenUsed/>
    <w:rsid w:val="00922FEB"/>
    <w:rPr>
      <w:vertAlign w:val="superscript"/>
    </w:rPr>
  </w:style>
  <w:style w:type="paragraph" w:styleId="ListParagraph">
    <w:name w:val="List Paragraph"/>
    <w:basedOn w:val="Normal"/>
    <w:uiPriority w:val="34"/>
    <w:qFormat/>
    <w:rsid w:val="00922FEB"/>
    <w:pPr>
      <w:spacing w:after="200" w:line="276" w:lineRule="auto"/>
      <w:ind w:left="720"/>
      <w:contextualSpacing/>
    </w:pPr>
    <w:rPr>
      <w:kern w:val="0"/>
      <w14:ligatures w14:val="none"/>
    </w:rPr>
  </w:style>
  <w:style w:type="paragraph" w:styleId="NormalWeb">
    <w:name w:val="Normal (Web)"/>
    <w:basedOn w:val="Normal"/>
    <w:uiPriority w:val="99"/>
    <w:unhideWhenUsed/>
    <w:rsid w:val="00922FEB"/>
    <w:pPr>
      <w:spacing w:after="200" w:line="276" w:lineRule="auto"/>
    </w:pPr>
    <w:rPr>
      <w:rFonts w:ascii="Times New Roman" w:hAnsi="Times New Roman" w:cs="Times New Roman"/>
      <w:kern w:val="0"/>
      <w:sz w:val="24"/>
      <w:szCs w:val="24"/>
      <w14:ligatures w14:val="none"/>
    </w:rPr>
  </w:style>
  <w:style w:type="character" w:customStyle="1" w:styleId="apple-converted-space">
    <w:name w:val="apple-converted-space"/>
    <w:basedOn w:val="DefaultParagraphFont"/>
    <w:rsid w:val="00922FEB"/>
  </w:style>
  <w:style w:type="character" w:styleId="PageNumber">
    <w:name w:val="page number"/>
    <w:basedOn w:val="DefaultParagraphFont"/>
    <w:rsid w:val="00922FEB"/>
  </w:style>
  <w:style w:type="character" w:customStyle="1" w:styleId="docblue">
    <w:name w:val="doc_blue"/>
    <w:basedOn w:val="DefaultParagraphFont"/>
    <w:rsid w:val="00922FEB"/>
  </w:style>
  <w:style w:type="character" w:customStyle="1" w:styleId="docbody">
    <w:name w:val="doc_body"/>
    <w:basedOn w:val="DefaultParagraphFont"/>
    <w:rsid w:val="00922FEB"/>
  </w:style>
  <w:style w:type="character" w:customStyle="1" w:styleId="docred">
    <w:name w:val="doc_red"/>
    <w:basedOn w:val="DefaultParagraphFont"/>
    <w:rsid w:val="00922FEB"/>
  </w:style>
  <w:style w:type="character" w:styleId="CommentReference">
    <w:name w:val="annotation reference"/>
    <w:basedOn w:val="DefaultParagraphFont"/>
    <w:uiPriority w:val="99"/>
    <w:semiHidden/>
    <w:unhideWhenUsed/>
    <w:rsid w:val="00922FEB"/>
    <w:rPr>
      <w:sz w:val="16"/>
      <w:szCs w:val="16"/>
    </w:rPr>
  </w:style>
  <w:style w:type="paragraph" w:styleId="CommentText">
    <w:name w:val="annotation text"/>
    <w:basedOn w:val="Normal"/>
    <w:link w:val="CommentTextChar"/>
    <w:uiPriority w:val="99"/>
    <w:unhideWhenUsed/>
    <w:rsid w:val="00922FEB"/>
    <w:pPr>
      <w:spacing w:after="20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922FEB"/>
    <w:rPr>
      <w:kern w:val="0"/>
      <w:sz w:val="20"/>
      <w:szCs w:val="20"/>
      <w:lang w:val="sq"/>
      <w14:ligatures w14:val="none"/>
    </w:rPr>
  </w:style>
  <w:style w:type="paragraph" w:styleId="CommentSubject">
    <w:name w:val="annotation subject"/>
    <w:basedOn w:val="CommentText"/>
    <w:next w:val="CommentText"/>
    <w:link w:val="CommentSubjectChar"/>
    <w:uiPriority w:val="99"/>
    <w:semiHidden/>
    <w:unhideWhenUsed/>
    <w:rsid w:val="00922FEB"/>
    <w:rPr>
      <w:b/>
      <w:bCs/>
    </w:rPr>
  </w:style>
  <w:style w:type="character" w:customStyle="1" w:styleId="CommentSubjectChar">
    <w:name w:val="Comment Subject Char"/>
    <w:basedOn w:val="CommentTextChar"/>
    <w:link w:val="CommentSubject"/>
    <w:uiPriority w:val="99"/>
    <w:semiHidden/>
    <w:rsid w:val="00922FEB"/>
    <w:rPr>
      <w:b/>
      <w:bCs/>
      <w:kern w:val="0"/>
      <w:sz w:val="20"/>
      <w:szCs w:val="20"/>
      <w:lang w:val="sq"/>
      <w14:ligatures w14:val="none"/>
    </w:rPr>
  </w:style>
  <w:style w:type="paragraph" w:styleId="BalloonText">
    <w:name w:val="Balloon Text"/>
    <w:basedOn w:val="Normal"/>
    <w:link w:val="BalloonTextChar"/>
    <w:uiPriority w:val="99"/>
    <w:semiHidden/>
    <w:unhideWhenUsed/>
    <w:rsid w:val="00922FEB"/>
    <w:pPr>
      <w:spacing w:after="0" w:line="240" w:lineRule="auto"/>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922FEB"/>
    <w:rPr>
      <w:rFonts w:ascii="Tahoma" w:hAnsi="Tahoma" w:cs="Tahoma"/>
      <w:kern w:val="0"/>
      <w:sz w:val="16"/>
      <w:szCs w:val="16"/>
      <w:lang w:val="sq"/>
      <w14:ligatures w14:val="none"/>
    </w:rPr>
  </w:style>
  <w:style w:type="character" w:styleId="Strong">
    <w:name w:val="Strong"/>
    <w:basedOn w:val="DefaultParagraphFont"/>
    <w:uiPriority w:val="22"/>
    <w:qFormat/>
    <w:rsid w:val="00922FEB"/>
    <w:rPr>
      <w:b/>
      <w:bCs/>
    </w:rPr>
  </w:style>
  <w:style w:type="character" w:customStyle="1" w:styleId="docheader">
    <w:name w:val="doc_header"/>
    <w:basedOn w:val="DefaultParagraphFont"/>
    <w:rsid w:val="00922FEB"/>
  </w:style>
  <w:style w:type="paragraph" w:customStyle="1" w:styleId="ColorfulList-Accent11">
    <w:name w:val="Colorful List - Accent 11"/>
    <w:basedOn w:val="Normal"/>
    <w:uiPriority w:val="34"/>
    <w:qFormat/>
    <w:rsid w:val="00922FEB"/>
    <w:pPr>
      <w:spacing w:after="200" w:line="276" w:lineRule="auto"/>
      <w:ind w:left="720"/>
      <w:contextualSpacing/>
    </w:pPr>
    <w:rPr>
      <w:rFonts w:ascii="Calibri" w:eastAsia="Calibri" w:hAnsi="Calibri" w:cs="Times New Roman"/>
      <w:kern w:val="0"/>
      <w14:ligatures w14:val="none"/>
    </w:rPr>
  </w:style>
  <w:style w:type="character" w:customStyle="1" w:styleId="hps">
    <w:name w:val="hps"/>
    <w:rsid w:val="00922FEB"/>
  </w:style>
  <w:style w:type="paragraph" w:customStyle="1" w:styleId="MediumGrid1-Accent21">
    <w:name w:val="Medium Grid 1 - Accent 21"/>
    <w:basedOn w:val="Normal"/>
    <w:uiPriority w:val="34"/>
    <w:qFormat/>
    <w:rsid w:val="00922FEB"/>
    <w:pPr>
      <w:ind w:left="720"/>
      <w:contextualSpacing/>
    </w:pPr>
    <w:rPr>
      <w:rFonts w:ascii="Times New Roman" w:eastAsia="Calibri" w:hAnsi="Times New Roman" w:cs="Times New Roman"/>
      <w:color w:val="000000"/>
      <w:kern w:val="0"/>
      <w:sz w:val="24"/>
      <w14:ligatures w14:val="none"/>
    </w:rPr>
  </w:style>
  <w:style w:type="character" w:customStyle="1" w:styleId="UnresolvedMention1">
    <w:name w:val="Unresolved Mention1"/>
    <w:basedOn w:val="DefaultParagraphFont"/>
    <w:uiPriority w:val="99"/>
    <w:semiHidden/>
    <w:unhideWhenUsed/>
    <w:rsid w:val="00922FEB"/>
    <w:rPr>
      <w:color w:val="605E5C"/>
      <w:shd w:val="clear" w:color="auto" w:fill="E1DFDD"/>
    </w:rPr>
  </w:style>
  <w:style w:type="character" w:styleId="Hyperlink">
    <w:name w:val="Hyperlink"/>
    <w:basedOn w:val="DefaultParagraphFont"/>
    <w:uiPriority w:val="99"/>
    <w:unhideWhenUsed/>
    <w:rsid w:val="00922FEB"/>
    <w:rPr>
      <w:color w:val="0563C1" w:themeColor="hyperlink"/>
      <w:u w:val="single"/>
    </w:rPr>
  </w:style>
  <w:style w:type="character" w:styleId="FollowedHyperlink">
    <w:name w:val="FollowedHyperlink"/>
    <w:basedOn w:val="DefaultParagraphFont"/>
    <w:uiPriority w:val="99"/>
    <w:semiHidden/>
    <w:unhideWhenUsed/>
    <w:rsid w:val="00922FEB"/>
    <w:rPr>
      <w:color w:val="954F72" w:themeColor="followedHyperlink"/>
      <w:u w:val="single"/>
    </w:rPr>
  </w:style>
  <w:style w:type="paragraph" w:styleId="BodyText">
    <w:name w:val="Body Text"/>
    <w:basedOn w:val="Normal"/>
    <w:link w:val="BodyTextChar"/>
    <w:uiPriority w:val="1"/>
    <w:qFormat/>
    <w:rsid w:val="00996667"/>
    <w:pPr>
      <w:widowControl w:val="0"/>
      <w:autoSpaceDE w:val="0"/>
      <w:autoSpaceDN w:val="0"/>
      <w:spacing w:after="0" w:line="240" w:lineRule="auto"/>
      <w:ind w:left="744" w:hanging="361"/>
      <w:jc w:val="both"/>
    </w:pPr>
    <w:rPr>
      <w:rFonts w:ascii="Calibri" w:eastAsia="Calibri" w:hAnsi="Calibri" w:cs="Calibri"/>
      <w:kern w:val="0"/>
      <w:sz w:val="24"/>
      <w:szCs w:val="24"/>
      <w14:ligatures w14:val="none"/>
    </w:rPr>
  </w:style>
  <w:style w:type="character" w:customStyle="1" w:styleId="BodyTextChar">
    <w:name w:val="Body Text Char"/>
    <w:basedOn w:val="DefaultParagraphFont"/>
    <w:link w:val="BodyText"/>
    <w:uiPriority w:val="1"/>
    <w:rsid w:val="00996667"/>
    <w:rPr>
      <w:rFonts w:ascii="Calibri" w:eastAsia="Calibri" w:hAnsi="Calibri" w:cs="Calibri"/>
      <w:kern w:val="0"/>
      <w:sz w:val="24"/>
      <w:szCs w:val="24"/>
      <w:lang w:val="sq"/>
      <w14:ligatures w14:val="none"/>
    </w:rPr>
  </w:style>
  <w:style w:type="character" w:styleId="Emphasis">
    <w:name w:val="Emphasis"/>
    <w:basedOn w:val="DefaultParagraphFont"/>
    <w:uiPriority w:val="20"/>
    <w:qFormat/>
    <w:rsid w:val="001024E6"/>
    <w:rPr>
      <w:i/>
      <w:iCs/>
    </w:rPr>
  </w:style>
  <w:style w:type="character" w:customStyle="1" w:styleId="Heading3Char">
    <w:name w:val="Heading 3 Char"/>
    <w:basedOn w:val="DefaultParagraphFont"/>
    <w:link w:val="Heading3"/>
    <w:uiPriority w:val="9"/>
    <w:rsid w:val="00E519B9"/>
    <w:rPr>
      <w:rFonts w:ascii="Times New Roman" w:eastAsia="Times New Roman" w:hAnsi="Times New Roman" w:cs="Times New Roman"/>
      <w:b/>
      <w:bCs/>
      <w:kern w:val="0"/>
      <w:sz w:val="27"/>
      <w:szCs w:val="27"/>
      <w14:ligatures w14:val="none"/>
    </w:rPr>
  </w:style>
  <w:style w:type="character" w:customStyle="1" w:styleId="Heading1Char">
    <w:name w:val="Heading 1 Char"/>
    <w:basedOn w:val="DefaultParagraphFont"/>
    <w:link w:val="Heading1"/>
    <w:uiPriority w:val="9"/>
    <w:rsid w:val="009D64A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D64A3"/>
    <w:pPr>
      <w:outlineLvl w:val="9"/>
    </w:pPr>
    <w:rPr>
      <w:kern w:val="0"/>
      <w14:ligatures w14:val="none"/>
    </w:rPr>
  </w:style>
  <w:style w:type="paragraph" w:styleId="TOC3">
    <w:name w:val="toc 3"/>
    <w:basedOn w:val="Normal"/>
    <w:next w:val="Normal"/>
    <w:autoRedefine/>
    <w:uiPriority w:val="39"/>
    <w:unhideWhenUsed/>
    <w:rsid w:val="009D64A3"/>
    <w:pPr>
      <w:spacing w:after="100"/>
      <w:ind w:left="440"/>
    </w:pPr>
  </w:style>
  <w:style w:type="character" w:customStyle="1" w:styleId="Heading2Char">
    <w:name w:val="Heading 2 Char"/>
    <w:basedOn w:val="DefaultParagraphFont"/>
    <w:link w:val="Heading2"/>
    <w:uiPriority w:val="9"/>
    <w:rsid w:val="00242D3A"/>
    <w:rPr>
      <w:rFonts w:asciiTheme="majorHAnsi" w:eastAsiaTheme="majorEastAsia" w:hAnsiTheme="majorHAnsi" w:cstheme="majorBidi"/>
      <w:color w:val="2F5496" w:themeColor="accent1" w:themeShade="BF"/>
      <w:sz w:val="26"/>
      <w:szCs w:val="26"/>
    </w:rPr>
  </w:style>
  <w:style w:type="paragraph" w:styleId="TOC1">
    <w:name w:val="toc 1"/>
    <w:basedOn w:val="Normal"/>
    <w:next w:val="Normal"/>
    <w:autoRedefine/>
    <w:uiPriority w:val="39"/>
    <w:unhideWhenUsed/>
    <w:rsid w:val="00415BDC"/>
    <w:pPr>
      <w:spacing w:after="100"/>
    </w:pPr>
  </w:style>
  <w:style w:type="paragraph" w:styleId="TOC2">
    <w:name w:val="toc 2"/>
    <w:basedOn w:val="Normal"/>
    <w:next w:val="Normal"/>
    <w:autoRedefine/>
    <w:uiPriority w:val="39"/>
    <w:unhideWhenUsed/>
    <w:rsid w:val="00415BDC"/>
    <w:pPr>
      <w:spacing w:after="100"/>
      <w:ind w:left="220"/>
    </w:pPr>
  </w:style>
  <w:style w:type="paragraph" w:styleId="TOC4">
    <w:name w:val="toc 4"/>
    <w:basedOn w:val="Normal"/>
    <w:next w:val="Normal"/>
    <w:autoRedefine/>
    <w:uiPriority w:val="39"/>
    <w:unhideWhenUsed/>
    <w:rsid w:val="00415BDC"/>
    <w:pPr>
      <w:spacing w:after="100"/>
      <w:ind w:left="660"/>
    </w:pPr>
    <w:rPr>
      <w:rFonts w:eastAsiaTheme="minorEastAsia"/>
      <w:kern w:val="0"/>
      <w14:ligatures w14:val="none"/>
    </w:rPr>
  </w:style>
  <w:style w:type="paragraph" w:styleId="TOC5">
    <w:name w:val="toc 5"/>
    <w:basedOn w:val="Normal"/>
    <w:next w:val="Normal"/>
    <w:autoRedefine/>
    <w:uiPriority w:val="39"/>
    <w:unhideWhenUsed/>
    <w:rsid w:val="00415BDC"/>
    <w:pPr>
      <w:spacing w:after="100"/>
      <w:ind w:left="880"/>
    </w:pPr>
    <w:rPr>
      <w:rFonts w:eastAsiaTheme="minorEastAsia"/>
      <w:kern w:val="0"/>
      <w14:ligatures w14:val="none"/>
    </w:rPr>
  </w:style>
  <w:style w:type="paragraph" w:styleId="TOC6">
    <w:name w:val="toc 6"/>
    <w:basedOn w:val="Normal"/>
    <w:next w:val="Normal"/>
    <w:autoRedefine/>
    <w:uiPriority w:val="39"/>
    <w:unhideWhenUsed/>
    <w:rsid w:val="00415BDC"/>
    <w:pPr>
      <w:spacing w:after="100"/>
      <w:ind w:left="1100"/>
    </w:pPr>
    <w:rPr>
      <w:rFonts w:eastAsiaTheme="minorEastAsia"/>
      <w:kern w:val="0"/>
      <w14:ligatures w14:val="none"/>
    </w:rPr>
  </w:style>
  <w:style w:type="paragraph" w:styleId="TOC7">
    <w:name w:val="toc 7"/>
    <w:basedOn w:val="Normal"/>
    <w:next w:val="Normal"/>
    <w:autoRedefine/>
    <w:uiPriority w:val="39"/>
    <w:unhideWhenUsed/>
    <w:rsid w:val="00415BDC"/>
    <w:pPr>
      <w:spacing w:after="100"/>
      <w:ind w:left="1320"/>
    </w:pPr>
    <w:rPr>
      <w:rFonts w:eastAsiaTheme="minorEastAsia"/>
      <w:kern w:val="0"/>
      <w14:ligatures w14:val="none"/>
    </w:rPr>
  </w:style>
  <w:style w:type="paragraph" w:styleId="TOC8">
    <w:name w:val="toc 8"/>
    <w:basedOn w:val="Normal"/>
    <w:next w:val="Normal"/>
    <w:autoRedefine/>
    <w:uiPriority w:val="39"/>
    <w:unhideWhenUsed/>
    <w:rsid w:val="00415BDC"/>
    <w:pPr>
      <w:spacing w:after="100"/>
      <w:ind w:left="1540"/>
    </w:pPr>
    <w:rPr>
      <w:rFonts w:eastAsiaTheme="minorEastAsia"/>
      <w:kern w:val="0"/>
      <w14:ligatures w14:val="none"/>
    </w:rPr>
  </w:style>
  <w:style w:type="paragraph" w:styleId="TOC9">
    <w:name w:val="toc 9"/>
    <w:basedOn w:val="Normal"/>
    <w:next w:val="Normal"/>
    <w:autoRedefine/>
    <w:uiPriority w:val="39"/>
    <w:unhideWhenUsed/>
    <w:rsid w:val="00415BDC"/>
    <w:pPr>
      <w:spacing w:after="100"/>
      <w:ind w:left="1760"/>
    </w:pPr>
    <w:rPr>
      <w:rFonts w:eastAsiaTheme="minorEastAsia"/>
      <w:kern w:val="0"/>
      <w14:ligatures w14:val="none"/>
    </w:rPr>
  </w:style>
  <w:style w:type="paragraph" w:styleId="Header">
    <w:name w:val="header"/>
    <w:basedOn w:val="Normal"/>
    <w:link w:val="HeaderChar"/>
    <w:uiPriority w:val="99"/>
    <w:unhideWhenUsed/>
    <w:rsid w:val="00A106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6AB"/>
  </w:style>
  <w:style w:type="paragraph" w:styleId="Footer">
    <w:name w:val="footer"/>
    <w:basedOn w:val="Normal"/>
    <w:link w:val="FooterChar"/>
    <w:uiPriority w:val="99"/>
    <w:unhideWhenUsed/>
    <w:rsid w:val="00A106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6AB"/>
  </w:style>
  <w:style w:type="paragraph" w:customStyle="1" w:styleId="oj-normal">
    <w:name w:val="oj-normal"/>
    <w:basedOn w:val="Normal"/>
    <w:rsid w:val="0077636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oj-ti-grseq-1">
    <w:name w:val="oj-ti-grseq-1"/>
    <w:basedOn w:val="Normal"/>
    <w:rsid w:val="0077636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oj-expanded">
    <w:name w:val="oj-expanded"/>
    <w:basedOn w:val="DefaultParagraphFont"/>
    <w:rsid w:val="0077636B"/>
  </w:style>
  <w:style w:type="paragraph" w:customStyle="1" w:styleId="oj-ti-art">
    <w:name w:val="oj-ti-art"/>
    <w:basedOn w:val="Normal"/>
    <w:rsid w:val="0077636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oj-super">
    <w:name w:val="oj-super"/>
    <w:basedOn w:val="DefaultParagraphFont"/>
    <w:rsid w:val="0077636B"/>
  </w:style>
  <w:style w:type="paragraph" w:styleId="NoSpacing">
    <w:name w:val="No Spacing"/>
    <w:uiPriority w:val="1"/>
    <w:qFormat/>
    <w:rsid w:val="0071079D"/>
    <w:pPr>
      <w:spacing w:after="0" w:line="240" w:lineRule="auto"/>
    </w:pPr>
    <w:rPr>
      <w:rFonts w:eastAsiaTheme="minorEastAsia"/>
      <w:kern w:val="0"/>
      <w14:ligatures w14:val="none"/>
    </w:rPr>
  </w:style>
  <w:style w:type="character" w:customStyle="1" w:styleId="legamendingtext">
    <w:name w:val="legamendingtext"/>
    <w:basedOn w:val="DefaultParagraphFont"/>
    <w:rsid w:val="0042577F"/>
  </w:style>
  <w:style w:type="paragraph" w:customStyle="1" w:styleId="legclearfix">
    <w:name w:val="legclearfix"/>
    <w:basedOn w:val="Normal"/>
    <w:rsid w:val="0042577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egrhs">
    <w:name w:val="legrhs"/>
    <w:basedOn w:val="Normal"/>
    <w:rsid w:val="0042577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TMLPreformatted">
    <w:name w:val="HTML Preformatted"/>
    <w:basedOn w:val="Normal"/>
    <w:link w:val="HTMLPreformattedChar"/>
    <w:uiPriority w:val="99"/>
    <w:unhideWhenUsed/>
    <w:rsid w:val="00A846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sq-AL"/>
      <w14:ligatures w14:val="none"/>
    </w:rPr>
  </w:style>
  <w:style w:type="character" w:customStyle="1" w:styleId="HTMLPreformattedChar">
    <w:name w:val="HTML Preformatted Char"/>
    <w:basedOn w:val="DefaultParagraphFont"/>
    <w:link w:val="HTMLPreformatted"/>
    <w:uiPriority w:val="99"/>
    <w:rsid w:val="00A846ED"/>
    <w:rPr>
      <w:rFonts w:ascii="Courier New" w:eastAsia="Times New Roman" w:hAnsi="Courier New" w:cs="Courier New"/>
      <w:kern w:val="0"/>
      <w:sz w:val="20"/>
      <w:szCs w:val="20"/>
      <w:lang w:val="sq" w:eastAsia="sq-AL"/>
      <w14:ligatures w14:val="none"/>
    </w:rPr>
  </w:style>
  <w:style w:type="character" w:customStyle="1" w:styleId="y2iqfc">
    <w:name w:val="y2iqfc"/>
    <w:basedOn w:val="DefaultParagraphFont"/>
    <w:rsid w:val="00A846ED"/>
  </w:style>
  <w:style w:type="paragraph" w:styleId="Revision">
    <w:name w:val="Revision"/>
    <w:hidden/>
    <w:uiPriority w:val="99"/>
    <w:semiHidden/>
    <w:rsid w:val="00A851A8"/>
    <w:pPr>
      <w:spacing w:after="0" w:line="240" w:lineRule="auto"/>
    </w:pPr>
  </w:style>
  <w:style w:type="paragraph" w:customStyle="1" w:styleId="pf0">
    <w:name w:val="pf0"/>
    <w:basedOn w:val="Normal"/>
    <w:rsid w:val="003344C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f01">
    <w:name w:val="cf01"/>
    <w:basedOn w:val="DefaultParagraphFont"/>
    <w:rsid w:val="003344C0"/>
    <w:rPr>
      <w:rFonts w:ascii="Segoe UI" w:hAnsi="Segoe UI" w:cs="Segoe UI" w:hint="default"/>
      <w:sz w:val="18"/>
      <w:szCs w:val="18"/>
    </w:rPr>
  </w:style>
  <w:style w:type="character" w:customStyle="1" w:styleId="cf21">
    <w:name w:val="cf21"/>
    <w:basedOn w:val="DefaultParagraphFont"/>
    <w:rsid w:val="003344C0"/>
    <w:rPr>
      <w:rFonts w:ascii="Segoe UI" w:hAnsi="Segoe UI" w:cs="Segoe UI" w:hint="default"/>
      <w:i/>
      <w:iCs/>
      <w:sz w:val="18"/>
      <w:szCs w:val="18"/>
    </w:rPr>
  </w:style>
  <w:style w:type="paragraph" w:styleId="z-TopofForm">
    <w:name w:val="HTML Top of Form"/>
    <w:basedOn w:val="Normal"/>
    <w:next w:val="Normal"/>
    <w:link w:val="z-TopofFormChar"/>
    <w:hidden/>
    <w:uiPriority w:val="99"/>
    <w:semiHidden/>
    <w:unhideWhenUsed/>
    <w:rsid w:val="000D3B1C"/>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0D3B1C"/>
    <w:rPr>
      <w:rFonts w:ascii="Arial" w:eastAsia="Times New Roman" w:hAnsi="Arial" w:cs="Arial"/>
      <w:vanish/>
      <w:kern w:val="0"/>
      <w:sz w:val="16"/>
      <w:szCs w:val="16"/>
      <w14:ligatures w14:val="none"/>
    </w:rPr>
  </w:style>
  <w:style w:type="paragraph" w:customStyle="1" w:styleId="placeholder">
    <w:name w:val="placeholder"/>
    <w:basedOn w:val="Normal"/>
    <w:rsid w:val="000D3B1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z-BottomofForm">
    <w:name w:val="HTML Bottom of Form"/>
    <w:basedOn w:val="Normal"/>
    <w:next w:val="Normal"/>
    <w:link w:val="z-BottomofFormChar"/>
    <w:hidden/>
    <w:uiPriority w:val="99"/>
    <w:semiHidden/>
    <w:unhideWhenUsed/>
    <w:rsid w:val="000D3B1C"/>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0D3B1C"/>
    <w:rPr>
      <w:rFonts w:ascii="Arial" w:eastAsia="Times New Roman" w:hAnsi="Arial" w:cs="Arial"/>
      <w:vanish/>
      <w:kern w:val="0"/>
      <w:sz w:val="16"/>
      <w:szCs w:val="16"/>
      <w14:ligatures w14:val="none"/>
    </w:rPr>
  </w:style>
  <w:style w:type="character" w:customStyle="1" w:styleId="oj-italic">
    <w:name w:val="oj-italic"/>
    <w:basedOn w:val="DefaultParagraphFont"/>
    <w:rsid w:val="001471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80504">
      <w:bodyDiv w:val="1"/>
      <w:marLeft w:val="0"/>
      <w:marRight w:val="0"/>
      <w:marTop w:val="0"/>
      <w:marBottom w:val="0"/>
      <w:divBdr>
        <w:top w:val="none" w:sz="0" w:space="0" w:color="auto"/>
        <w:left w:val="none" w:sz="0" w:space="0" w:color="auto"/>
        <w:bottom w:val="none" w:sz="0" w:space="0" w:color="auto"/>
        <w:right w:val="none" w:sz="0" w:space="0" w:color="auto"/>
      </w:divBdr>
    </w:div>
    <w:div w:id="66853641">
      <w:bodyDiv w:val="1"/>
      <w:marLeft w:val="0"/>
      <w:marRight w:val="0"/>
      <w:marTop w:val="0"/>
      <w:marBottom w:val="0"/>
      <w:divBdr>
        <w:top w:val="none" w:sz="0" w:space="0" w:color="auto"/>
        <w:left w:val="none" w:sz="0" w:space="0" w:color="auto"/>
        <w:bottom w:val="none" w:sz="0" w:space="0" w:color="auto"/>
        <w:right w:val="none" w:sz="0" w:space="0" w:color="auto"/>
      </w:divBdr>
      <w:divsChild>
        <w:div w:id="80807730">
          <w:marLeft w:val="0"/>
          <w:marRight w:val="0"/>
          <w:marTop w:val="0"/>
          <w:marBottom w:val="0"/>
          <w:divBdr>
            <w:top w:val="none" w:sz="0" w:space="0" w:color="auto"/>
            <w:left w:val="none" w:sz="0" w:space="0" w:color="auto"/>
            <w:bottom w:val="none" w:sz="0" w:space="0" w:color="auto"/>
            <w:right w:val="none" w:sz="0" w:space="0" w:color="auto"/>
          </w:divBdr>
        </w:div>
        <w:div w:id="388841559">
          <w:marLeft w:val="0"/>
          <w:marRight w:val="0"/>
          <w:marTop w:val="0"/>
          <w:marBottom w:val="0"/>
          <w:divBdr>
            <w:top w:val="none" w:sz="0" w:space="0" w:color="auto"/>
            <w:left w:val="none" w:sz="0" w:space="0" w:color="auto"/>
            <w:bottom w:val="none" w:sz="0" w:space="0" w:color="auto"/>
            <w:right w:val="none" w:sz="0" w:space="0" w:color="auto"/>
          </w:divBdr>
        </w:div>
        <w:div w:id="1896507503">
          <w:marLeft w:val="0"/>
          <w:marRight w:val="0"/>
          <w:marTop w:val="0"/>
          <w:marBottom w:val="0"/>
          <w:divBdr>
            <w:top w:val="none" w:sz="0" w:space="0" w:color="auto"/>
            <w:left w:val="none" w:sz="0" w:space="0" w:color="auto"/>
            <w:bottom w:val="none" w:sz="0" w:space="0" w:color="auto"/>
            <w:right w:val="none" w:sz="0" w:space="0" w:color="auto"/>
          </w:divBdr>
        </w:div>
        <w:div w:id="1199705502">
          <w:marLeft w:val="0"/>
          <w:marRight w:val="0"/>
          <w:marTop w:val="0"/>
          <w:marBottom w:val="0"/>
          <w:divBdr>
            <w:top w:val="none" w:sz="0" w:space="0" w:color="auto"/>
            <w:left w:val="none" w:sz="0" w:space="0" w:color="auto"/>
            <w:bottom w:val="none" w:sz="0" w:space="0" w:color="auto"/>
            <w:right w:val="none" w:sz="0" w:space="0" w:color="auto"/>
          </w:divBdr>
        </w:div>
      </w:divsChild>
    </w:div>
    <w:div w:id="69619284">
      <w:bodyDiv w:val="1"/>
      <w:marLeft w:val="0"/>
      <w:marRight w:val="0"/>
      <w:marTop w:val="0"/>
      <w:marBottom w:val="0"/>
      <w:divBdr>
        <w:top w:val="none" w:sz="0" w:space="0" w:color="auto"/>
        <w:left w:val="none" w:sz="0" w:space="0" w:color="auto"/>
        <w:bottom w:val="none" w:sz="0" w:space="0" w:color="auto"/>
        <w:right w:val="none" w:sz="0" w:space="0" w:color="auto"/>
      </w:divBdr>
    </w:div>
    <w:div w:id="95175758">
      <w:bodyDiv w:val="1"/>
      <w:marLeft w:val="0"/>
      <w:marRight w:val="0"/>
      <w:marTop w:val="0"/>
      <w:marBottom w:val="0"/>
      <w:divBdr>
        <w:top w:val="none" w:sz="0" w:space="0" w:color="auto"/>
        <w:left w:val="none" w:sz="0" w:space="0" w:color="auto"/>
        <w:bottom w:val="none" w:sz="0" w:space="0" w:color="auto"/>
        <w:right w:val="none" w:sz="0" w:space="0" w:color="auto"/>
      </w:divBdr>
    </w:div>
    <w:div w:id="113450903">
      <w:bodyDiv w:val="1"/>
      <w:marLeft w:val="0"/>
      <w:marRight w:val="0"/>
      <w:marTop w:val="0"/>
      <w:marBottom w:val="0"/>
      <w:divBdr>
        <w:top w:val="none" w:sz="0" w:space="0" w:color="auto"/>
        <w:left w:val="none" w:sz="0" w:space="0" w:color="auto"/>
        <w:bottom w:val="none" w:sz="0" w:space="0" w:color="auto"/>
        <w:right w:val="none" w:sz="0" w:space="0" w:color="auto"/>
      </w:divBdr>
    </w:div>
    <w:div w:id="114913414">
      <w:bodyDiv w:val="1"/>
      <w:marLeft w:val="0"/>
      <w:marRight w:val="0"/>
      <w:marTop w:val="0"/>
      <w:marBottom w:val="0"/>
      <w:divBdr>
        <w:top w:val="none" w:sz="0" w:space="0" w:color="auto"/>
        <w:left w:val="none" w:sz="0" w:space="0" w:color="auto"/>
        <w:bottom w:val="none" w:sz="0" w:space="0" w:color="auto"/>
        <w:right w:val="none" w:sz="0" w:space="0" w:color="auto"/>
      </w:divBdr>
    </w:div>
    <w:div w:id="129173303">
      <w:bodyDiv w:val="1"/>
      <w:marLeft w:val="0"/>
      <w:marRight w:val="0"/>
      <w:marTop w:val="0"/>
      <w:marBottom w:val="0"/>
      <w:divBdr>
        <w:top w:val="none" w:sz="0" w:space="0" w:color="auto"/>
        <w:left w:val="none" w:sz="0" w:space="0" w:color="auto"/>
        <w:bottom w:val="none" w:sz="0" w:space="0" w:color="auto"/>
        <w:right w:val="none" w:sz="0" w:space="0" w:color="auto"/>
      </w:divBdr>
    </w:div>
    <w:div w:id="134420579">
      <w:bodyDiv w:val="1"/>
      <w:marLeft w:val="0"/>
      <w:marRight w:val="0"/>
      <w:marTop w:val="0"/>
      <w:marBottom w:val="0"/>
      <w:divBdr>
        <w:top w:val="none" w:sz="0" w:space="0" w:color="auto"/>
        <w:left w:val="none" w:sz="0" w:space="0" w:color="auto"/>
        <w:bottom w:val="none" w:sz="0" w:space="0" w:color="auto"/>
        <w:right w:val="none" w:sz="0" w:space="0" w:color="auto"/>
      </w:divBdr>
    </w:div>
    <w:div w:id="146748648">
      <w:bodyDiv w:val="1"/>
      <w:marLeft w:val="0"/>
      <w:marRight w:val="0"/>
      <w:marTop w:val="0"/>
      <w:marBottom w:val="0"/>
      <w:divBdr>
        <w:top w:val="none" w:sz="0" w:space="0" w:color="auto"/>
        <w:left w:val="none" w:sz="0" w:space="0" w:color="auto"/>
        <w:bottom w:val="none" w:sz="0" w:space="0" w:color="auto"/>
        <w:right w:val="none" w:sz="0" w:space="0" w:color="auto"/>
      </w:divBdr>
    </w:div>
    <w:div w:id="155149104">
      <w:bodyDiv w:val="1"/>
      <w:marLeft w:val="0"/>
      <w:marRight w:val="0"/>
      <w:marTop w:val="0"/>
      <w:marBottom w:val="0"/>
      <w:divBdr>
        <w:top w:val="none" w:sz="0" w:space="0" w:color="auto"/>
        <w:left w:val="none" w:sz="0" w:space="0" w:color="auto"/>
        <w:bottom w:val="none" w:sz="0" w:space="0" w:color="auto"/>
        <w:right w:val="none" w:sz="0" w:space="0" w:color="auto"/>
      </w:divBdr>
    </w:div>
    <w:div w:id="185019615">
      <w:bodyDiv w:val="1"/>
      <w:marLeft w:val="0"/>
      <w:marRight w:val="0"/>
      <w:marTop w:val="0"/>
      <w:marBottom w:val="0"/>
      <w:divBdr>
        <w:top w:val="none" w:sz="0" w:space="0" w:color="auto"/>
        <w:left w:val="none" w:sz="0" w:space="0" w:color="auto"/>
        <w:bottom w:val="none" w:sz="0" w:space="0" w:color="auto"/>
        <w:right w:val="none" w:sz="0" w:space="0" w:color="auto"/>
      </w:divBdr>
    </w:div>
    <w:div w:id="194972149">
      <w:bodyDiv w:val="1"/>
      <w:marLeft w:val="0"/>
      <w:marRight w:val="0"/>
      <w:marTop w:val="0"/>
      <w:marBottom w:val="0"/>
      <w:divBdr>
        <w:top w:val="none" w:sz="0" w:space="0" w:color="auto"/>
        <w:left w:val="none" w:sz="0" w:space="0" w:color="auto"/>
        <w:bottom w:val="none" w:sz="0" w:space="0" w:color="auto"/>
        <w:right w:val="none" w:sz="0" w:space="0" w:color="auto"/>
      </w:divBdr>
    </w:div>
    <w:div w:id="203753936">
      <w:bodyDiv w:val="1"/>
      <w:marLeft w:val="0"/>
      <w:marRight w:val="0"/>
      <w:marTop w:val="0"/>
      <w:marBottom w:val="0"/>
      <w:divBdr>
        <w:top w:val="none" w:sz="0" w:space="0" w:color="auto"/>
        <w:left w:val="none" w:sz="0" w:space="0" w:color="auto"/>
        <w:bottom w:val="none" w:sz="0" w:space="0" w:color="auto"/>
        <w:right w:val="none" w:sz="0" w:space="0" w:color="auto"/>
      </w:divBdr>
    </w:div>
    <w:div w:id="207491911">
      <w:bodyDiv w:val="1"/>
      <w:marLeft w:val="0"/>
      <w:marRight w:val="0"/>
      <w:marTop w:val="0"/>
      <w:marBottom w:val="0"/>
      <w:divBdr>
        <w:top w:val="none" w:sz="0" w:space="0" w:color="auto"/>
        <w:left w:val="none" w:sz="0" w:space="0" w:color="auto"/>
        <w:bottom w:val="none" w:sz="0" w:space="0" w:color="auto"/>
        <w:right w:val="none" w:sz="0" w:space="0" w:color="auto"/>
      </w:divBdr>
    </w:div>
    <w:div w:id="235287955">
      <w:bodyDiv w:val="1"/>
      <w:marLeft w:val="0"/>
      <w:marRight w:val="0"/>
      <w:marTop w:val="0"/>
      <w:marBottom w:val="0"/>
      <w:divBdr>
        <w:top w:val="none" w:sz="0" w:space="0" w:color="auto"/>
        <w:left w:val="none" w:sz="0" w:space="0" w:color="auto"/>
        <w:bottom w:val="none" w:sz="0" w:space="0" w:color="auto"/>
        <w:right w:val="none" w:sz="0" w:space="0" w:color="auto"/>
      </w:divBdr>
    </w:div>
    <w:div w:id="271671302">
      <w:bodyDiv w:val="1"/>
      <w:marLeft w:val="0"/>
      <w:marRight w:val="0"/>
      <w:marTop w:val="0"/>
      <w:marBottom w:val="0"/>
      <w:divBdr>
        <w:top w:val="none" w:sz="0" w:space="0" w:color="auto"/>
        <w:left w:val="none" w:sz="0" w:space="0" w:color="auto"/>
        <w:bottom w:val="none" w:sz="0" w:space="0" w:color="auto"/>
        <w:right w:val="none" w:sz="0" w:space="0" w:color="auto"/>
      </w:divBdr>
    </w:div>
    <w:div w:id="326712156">
      <w:bodyDiv w:val="1"/>
      <w:marLeft w:val="0"/>
      <w:marRight w:val="0"/>
      <w:marTop w:val="0"/>
      <w:marBottom w:val="0"/>
      <w:divBdr>
        <w:top w:val="none" w:sz="0" w:space="0" w:color="auto"/>
        <w:left w:val="none" w:sz="0" w:space="0" w:color="auto"/>
        <w:bottom w:val="none" w:sz="0" w:space="0" w:color="auto"/>
        <w:right w:val="none" w:sz="0" w:space="0" w:color="auto"/>
      </w:divBdr>
    </w:div>
    <w:div w:id="339358952">
      <w:bodyDiv w:val="1"/>
      <w:marLeft w:val="0"/>
      <w:marRight w:val="0"/>
      <w:marTop w:val="0"/>
      <w:marBottom w:val="0"/>
      <w:divBdr>
        <w:top w:val="none" w:sz="0" w:space="0" w:color="auto"/>
        <w:left w:val="none" w:sz="0" w:space="0" w:color="auto"/>
        <w:bottom w:val="none" w:sz="0" w:space="0" w:color="auto"/>
        <w:right w:val="none" w:sz="0" w:space="0" w:color="auto"/>
      </w:divBdr>
    </w:div>
    <w:div w:id="345601155">
      <w:bodyDiv w:val="1"/>
      <w:marLeft w:val="0"/>
      <w:marRight w:val="0"/>
      <w:marTop w:val="0"/>
      <w:marBottom w:val="0"/>
      <w:divBdr>
        <w:top w:val="none" w:sz="0" w:space="0" w:color="auto"/>
        <w:left w:val="none" w:sz="0" w:space="0" w:color="auto"/>
        <w:bottom w:val="none" w:sz="0" w:space="0" w:color="auto"/>
        <w:right w:val="none" w:sz="0" w:space="0" w:color="auto"/>
      </w:divBdr>
    </w:div>
    <w:div w:id="347684202">
      <w:bodyDiv w:val="1"/>
      <w:marLeft w:val="0"/>
      <w:marRight w:val="0"/>
      <w:marTop w:val="0"/>
      <w:marBottom w:val="0"/>
      <w:divBdr>
        <w:top w:val="none" w:sz="0" w:space="0" w:color="auto"/>
        <w:left w:val="none" w:sz="0" w:space="0" w:color="auto"/>
        <w:bottom w:val="none" w:sz="0" w:space="0" w:color="auto"/>
        <w:right w:val="none" w:sz="0" w:space="0" w:color="auto"/>
      </w:divBdr>
    </w:div>
    <w:div w:id="348337347">
      <w:bodyDiv w:val="1"/>
      <w:marLeft w:val="0"/>
      <w:marRight w:val="0"/>
      <w:marTop w:val="0"/>
      <w:marBottom w:val="0"/>
      <w:divBdr>
        <w:top w:val="none" w:sz="0" w:space="0" w:color="auto"/>
        <w:left w:val="none" w:sz="0" w:space="0" w:color="auto"/>
        <w:bottom w:val="none" w:sz="0" w:space="0" w:color="auto"/>
        <w:right w:val="none" w:sz="0" w:space="0" w:color="auto"/>
      </w:divBdr>
    </w:div>
    <w:div w:id="348726390">
      <w:bodyDiv w:val="1"/>
      <w:marLeft w:val="0"/>
      <w:marRight w:val="0"/>
      <w:marTop w:val="0"/>
      <w:marBottom w:val="0"/>
      <w:divBdr>
        <w:top w:val="none" w:sz="0" w:space="0" w:color="auto"/>
        <w:left w:val="none" w:sz="0" w:space="0" w:color="auto"/>
        <w:bottom w:val="none" w:sz="0" w:space="0" w:color="auto"/>
        <w:right w:val="none" w:sz="0" w:space="0" w:color="auto"/>
      </w:divBdr>
    </w:div>
    <w:div w:id="382291549">
      <w:bodyDiv w:val="1"/>
      <w:marLeft w:val="0"/>
      <w:marRight w:val="0"/>
      <w:marTop w:val="0"/>
      <w:marBottom w:val="0"/>
      <w:divBdr>
        <w:top w:val="none" w:sz="0" w:space="0" w:color="auto"/>
        <w:left w:val="none" w:sz="0" w:space="0" w:color="auto"/>
        <w:bottom w:val="none" w:sz="0" w:space="0" w:color="auto"/>
        <w:right w:val="none" w:sz="0" w:space="0" w:color="auto"/>
      </w:divBdr>
    </w:div>
    <w:div w:id="389815015">
      <w:bodyDiv w:val="1"/>
      <w:marLeft w:val="0"/>
      <w:marRight w:val="0"/>
      <w:marTop w:val="0"/>
      <w:marBottom w:val="0"/>
      <w:divBdr>
        <w:top w:val="none" w:sz="0" w:space="0" w:color="auto"/>
        <w:left w:val="none" w:sz="0" w:space="0" w:color="auto"/>
        <w:bottom w:val="none" w:sz="0" w:space="0" w:color="auto"/>
        <w:right w:val="none" w:sz="0" w:space="0" w:color="auto"/>
      </w:divBdr>
    </w:div>
    <w:div w:id="395401235">
      <w:bodyDiv w:val="1"/>
      <w:marLeft w:val="0"/>
      <w:marRight w:val="0"/>
      <w:marTop w:val="0"/>
      <w:marBottom w:val="0"/>
      <w:divBdr>
        <w:top w:val="none" w:sz="0" w:space="0" w:color="auto"/>
        <w:left w:val="none" w:sz="0" w:space="0" w:color="auto"/>
        <w:bottom w:val="none" w:sz="0" w:space="0" w:color="auto"/>
        <w:right w:val="none" w:sz="0" w:space="0" w:color="auto"/>
      </w:divBdr>
    </w:div>
    <w:div w:id="407964562">
      <w:bodyDiv w:val="1"/>
      <w:marLeft w:val="0"/>
      <w:marRight w:val="0"/>
      <w:marTop w:val="0"/>
      <w:marBottom w:val="0"/>
      <w:divBdr>
        <w:top w:val="none" w:sz="0" w:space="0" w:color="auto"/>
        <w:left w:val="none" w:sz="0" w:space="0" w:color="auto"/>
        <w:bottom w:val="none" w:sz="0" w:space="0" w:color="auto"/>
        <w:right w:val="none" w:sz="0" w:space="0" w:color="auto"/>
      </w:divBdr>
      <w:divsChild>
        <w:div w:id="887766585">
          <w:marLeft w:val="0"/>
          <w:marRight w:val="0"/>
          <w:marTop w:val="0"/>
          <w:marBottom w:val="0"/>
          <w:divBdr>
            <w:top w:val="none" w:sz="0" w:space="0" w:color="auto"/>
            <w:left w:val="none" w:sz="0" w:space="0" w:color="auto"/>
            <w:bottom w:val="none" w:sz="0" w:space="0" w:color="auto"/>
            <w:right w:val="none" w:sz="0" w:space="0" w:color="auto"/>
          </w:divBdr>
          <w:divsChild>
            <w:div w:id="549146384">
              <w:marLeft w:val="0"/>
              <w:marRight w:val="0"/>
              <w:marTop w:val="0"/>
              <w:marBottom w:val="0"/>
              <w:divBdr>
                <w:top w:val="none" w:sz="0" w:space="0" w:color="auto"/>
                <w:left w:val="none" w:sz="0" w:space="0" w:color="auto"/>
                <w:bottom w:val="none" w:sz="0" w:space="0" w:color="auto"/>
                <w:right w:val="none" w:sz="0" w:space="0" w:color="auto"/>
              </w:divBdr>
              <w:divsChild>
                <w:div w:id="2000036163">
                  <w:marLeft w:val="0"/>
                  <w:marRight w:val="0"/>
                  <w:marTop w:val="0"/>
                  <w:marBottom w:val="0"/>
                  <w:divBdr>
                    <w:top w:val="none" w:sz="0" w:space="0" w:color="auto"/>
                    <w:left w:val="none" w:sz="0" w:space="0" w:color="auto"/>
                    <w:bottom w:val="none" w:sz="0" w:space="0" w:color="auto"/>
                    <w:right w:val="none" w:sz="0" w:space="0" w:color="auto"/>
                  </w:divBdr>
                  <w:divsChild>
                    <w:div w:id="900017271">
                      <w:marLeft w:val="0"/>
                      <w:marRight w:val="0"/>
                      <w:marTop w:val="0"/>
                      <w:marBottom w:val="0"/>
                      <w:divBdr>
                        <w:top w:val="none" w:sz="0" w:space="0" w:color="auto"/>
                        <w:left w:val="none" w:sz="0" w:space="0" w:color="auto"/>
                        <w:bottom w:val="none" w:sz="0" w:space="0" w:color="auto"/>
                        <w:right w:val="none" w:sz="0" w:space="0" w:color="auto"/>
                      </w:divBdr>
                      <w:divsChild>
                        <w:div w:id="703751487">
                          <w:marLeft w:val="0"/>
                          <w:marRight w:val="0"/>
                          <w:marTop w:val="0"/>
                          <w:marBottom w:val="0"/>
                          <w:divBdr>
                            <w:top w:val="none" w:sz="0" w:space="0" w:color="auto"/>
                            <w:left w:val="none" w:sz="0" w:space="0" w:color="auto"/>
                            <w:bottom w:val="none" w:sz="0" w:space="0" w:color="auto"/>
                            <w:right w:val="none" w:sz="0" w:space="0" w:color="auto"/>
                          </w:divBdr>
                          <w:divsChild>
                            <w:div w:id="75886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453714">
      <w:bodyDiv w:val="1"/>
      <w:marLeft w:val="0"/>
      <w:marRight w:val="0"/>
      <w:marTop w:val="0"/>
      <w:marBottom w:val="0"/>
      <w:divBdr>
        <w:top w:val="none" w:sz="0" w:space="0" w:color="auto"/>
        <w:left w:val="none" w:sz="0" w:space="0" w:color="auto"/>
        <w:bottom w:val="none" w:sz="0" w:space="0" w:color="auto"/>
        <w:right w:val="none" w:sz="0" w:space="0" w:color="auto"/>
      </w:divBdr>
      <w:divsChild>
        <w:div w:id="255674626">
          <w:marLeft w:val="0"/>
          <w:marRight w:val="0"/>
          <w:marTop w:val="0"/>
          <w:marBottom w:val="0"/>
          <w:divBdr>
            <w:top w:val="none" w:sz="0" w:space="0" w:color="auto"/>
            <w:left w:val="none" w:sz="0" w:space="0" w:color="auto"/>
            <w:bottom w:val="none" w:sz="0" w:space="0" w:color="auto"/>
            <w:right w:val="none" w:sz="0" w:space="0" w:color="auto"/>
          </w:divBdr>
        </w:div>
        <w:div w:id="908464086">
          <w:marLeft w:val="0"/>
          <w:marRight w:val="0"/>
          <w:marTop w:val="0"/>
          <w:marBottom w:val="0"/>
          <w:divBdr>
            <w:top w:val="none" w:sz="0" w:space="0" w:color="auto"/>
            <w:left w:val="none" w:sz="0" w:space="0" w:color="auto"/>
            <w:bottom w:val="none" w:sz="0" w:space="0" w:color="auto"/>
            <w:right w:val="none" w:sz="0" w:space="0" w:color="auto"/>
          </w:divBdr>
        </w:div>
      </w:divsChild>
    </w:div>
    <w:div w:id="447050906">
      <w:bodyDiv w:val="1"/>
      <w:marLeft w:val="0"/>
      <w:marRight w:val="0"/>
      <w:marTop w:val="0"/>
      <w:marBottom w:val="0"/>
      <w:divBdr>
        <w:top w:val="none" w:sz="0" w:space="0" w:color="auto"/>
        <w:left w:val="none" w:sz="0" w:space="0" w:color="auto"/>
        <w:bottom w:val="none" w:sz="0" w:space="0" w:color="auto"/>
        <w:right w:val="none" w:sz="0" w:space="0" w:color="auto"/>
      </w:divBdr>
      <w:divsChild>
        <w:div w:id="13003924">
          <w:marLeft w:val="0"/>
          <w:marRight w:val="0"/>
          <w:marTop w:val="0"/>
          <w:marBottom w:val="0"/>
          <w:divBdr>
            <w:top w:val="none" w:sz="0" w:space="0" w:color="auto"/>
            <w:left w:val="none" w:sz="0" w:space="0" w:color="auto"/>
            <w:bottom w:val="none" w:sz="0" w:space="0" w:color="auto"/>
            <w:right w:val="none" w:sz="0" w:space="0" w:color="auto"/>
          </w:divBdr>
        </w:div>
        <w:div w:id="416171366">
          <w:marLeft w:val="0"/>
          <w:marRight w:val="0"/>
          <w:marTop w:val="0"/>
          <w:marBottom w:val="0"/>
          <w:divBdr>
            <w:top w:val="none" w:sz="0" w:space="0" w:color="auto"/>
            <w:left w:val="none" w:sz="0" w:space="0" w:color="auto"/>
            <w:bottom w:val="none" w:sz="0" w:space="0" w:color="auto"/>
            <w:right w:val="none" w:sz="0" w:space="0" w:color="auto"/>
          </w:divBdr>
        </w:div>
        <w:div w:id="1956326091">
          <w:marLeft w:val="0"/>
          <w:marRight w:val="0"/>
          <w:marTop w:val="0"/>
          <w:marBottom w:val="0"/>
          <w:divBdr>
            <w:top w:val="none" w:sz="0" w:space="0" w:color="auto"/>
            <w:left w:val="none" w:sz="0" w:space="0" w:color="auto"/>
            <w:bottom w:val="none" w:sz="0" w:space="0" w:color="auto"/>
            <w:right w:val="none" w:sz="0" w:space="0" w:color="auto"/>
          </w:divBdr>
        </w:div>
        <w:div w:id="1482966685">
          <w:marLeft w:val="0"/>
          <w:marRight w:val="0"/>
          <w:marTop w:val="0"/>
          <w:marBottom w:val="0"/>
          <w:divBdr>
            <w:top w:val="none" w:sz="0" w:space="0" w:color="auto"/>
            <w:left w:val="none" w:sz="0" w:space="0" w:color="auto"/>
            <w:bottom w:val="none" w:sz="0" w:space="0" w:color="auto"/>
            <w:right w:val="none" w:sz="0" w:space="0" w:color="auto"/>
          </w:divBdr>
        </w:div>
      </w:divsChild>
    </w:div>
    <w:div w:id="450822376">
      <w:bodyDiv w:val="1"/>
      <w:marLeft w:val="0"/>
      <w:marRight w:val="0"/>
      <w:marTop w:val="0"/>
      <w:marBottom w:val="0"/>
      <w:divBdr>
        <w:top w:val="none" w:sz="0" w:space="0" w:color="auto"/>
        <w:left w:val="none" w:sz="0" w:space="0" w:color="auto"/>
        <w:bottom w:val="none" w:sz="0" w:space="0" w:color="auto"/>
        <w:right w:val="none" w:sz="0" w:space="0" w:color="auto"/>
      </w:divBdr>
    </w:div>
    <w:div w:id="496192425">
      <w:bodyDiv w:val="1"/>
      <w:marLeft w:val="0"/>
      <w:marRight w:val="0"/>
      <w:marTop w:val="0"/>
      <w:marBottom w:val="0"/>
      <w:divBdr>
        <w:top w:val="none" w:sz="0" w:space="0" w:color="auto"/>
        <w:left w:val="none" w:sz="0" w:space="0" w:color="auto"/>
        <w:bottom w:val="none" w:sz="0" w:space="0" w:color="auto"/>
        <w:right w:val="none" w:sz="0" w:space="0" w:color="auto"/>
      </w:divBdr>
    </w:div>
    <w:div w:id="496269949">
      <w:bodyDiv w:val="1"/>
      <w:marLeft w:val="0"/>
      <w:marRight w:val="0"/>
      <w:marTop w:val="0"/>
      <w:marBottom w:val="0"/>
      <w:divBdr>
        <w:top w:val="none" w:sz="0" w:space="0" w:color="auto"/>
        <w:left w:val="none" w:sz="0" w:space="0" w:color="auto"/>
        <w:bottom w:val="none" w:sz="0" w:space="0" w:color="auto"/>
        <w:right w:val="none" w:sz="0" w:space="0" w:color="auto"/>
      </w:divBdr>
    </w:div>
    <w:div w:id="498547958">
      <w:bodyDiv w:val="1"/>
      <w:marLeft w:val="0"/>
      <w:marRight w:val="0"/>
      <w:marTop w:val="0"/>
      <w:marBottom w:val="0"/>
      <w:divBdr>
        <w:top w:val="none" w:sz="0" w:space="0" w:color="auto"/>
        <w:left w:val="none" w:sz="0" w:space="0" w:color="auto"/>
        <w:bottom w:val="none" w:sz="0" w:space="0" w:color="auto"/>
        <w:right w:val="none" w:sz="0" w:space="0" w:color="auto"/>
      </w:divBdr>
      <w:divsChild>
        <w:div w:id="440565309">
          <w:marLeft w:val="0"/>
          <w:marRight w:val="0"/>
          <w:marTop w:val="0"/>
          <w:marBottom w:val="0"/>
          <w:divBdr>
            <w:top w:val="none" w:sz="0" w:space="0" w:color="auto"/>
            <w:left w:val="none" w:sz="0" w:space="0" w:color="auto"/>
            <w:bottom w:val="none" w:sz="0" w:space="0" w:color="auto"/>
            <w:right w:val="none" w:sz="0" w:space="0" w:color="auto"/>
          </w:divBdr>
        </w:div>
        <w:div w:id="1471702461">
          <w:marLeft w:val="0"/>
          <w:marRight w:val="0"/>
          <w:marTop w:val="0"/>
          <w:marBottom w:val="0"/>
          <w:divBdr>
            <w:top w:val="none" w:sz="0" w:space="0" w:color="auto"/>
            <w:left w:val="none" w:sz="0" w:space="0" w:color="auto"/>
            <w:bottom w:val="none" w:sz="0" w:space="0" w:color="auto"/>
            <w:right w:val="none" w:sz="0" w:space="0" w:color="auto"/>
          </w:divBdr>
        </w:div>
      </w:divsChild>
    </w:div>
    <w:div w:id="499928394">
      <w:bodyDiv w:val="1"/>
      <w:marLeft w:val="0"/>
      <w:marRight w:val="0"/>
      <w:marTop w:val="0"/>
      <w:marBottom w:val="0"/>
      <w:divBdr>
        <w:top w:val="none" w:sz="0" w:space="0" w:color="auto"/>
        <w:left w:val="none" w:sz="0" w:space="0" w:color="auto"/>
        <w:bottom w:val="none" w:sz="0" w:space="0" w:color="auto"/>
        <w:right w:val="none" w:sz="0" w:space="0" w:color="auto"/>
      </w:divBdr>
    </w:div>
    <w:div w:id="518545862">
      <w:bodyDiv w:val="1"/>
      <w:marLeft w:val="0"/>
      <w:marRight w:val="0"/>
      <w:marTop w:val="0"/>
      <w:marBottom w:val="0"/>
      <w:divBdr>
        <w:top w:val="none" w:sz="0" w:space="0" w:color="auto"/>
        <w:left w:val="none" w:sz="0" w:space="0" w:color="auto"/>
        <w:bottom w:val="none" w:sz="0" w:space="0" w:color="auto"/>
        <w:right w:val="none" w:sz="0" w:space="0" w:color="auto"/>
      </w:divBdr>
    </w:div>
    <w:div w:id="529226030">
      <w:bodyDiv w:val="1"/>
      <w:marLeft w:val="0"/>
      <w:marRight w:val="0"/>
      <w:marTop w:val="0"/>
      <w:marBottom w:val="0"/>
      <w:divBdr>
        <w:top w:val="none" w:sz="0" w:space="0" w:color="auto"/>
        <w:left w:val="none" w:sz="0" w:space="0" w:color="auto"/>
        <w:bottom w:val="none" w:sz="0" w:space="0" w:color="auto"/>
        <w:right w:val="none" w:sz="0" w:space="0" w:color="auto"/>
      </w:divBdr>
    </w:div>
    <w:div w:id="543761449">
      <w:bodyDiv w:val="1"/>
      <w:marLeft w:val="0"/>
      <w:marRight w:val="0"/>
      <w:marTop w:val="0"/>
      <w:marBottom w:val="0"/>
      <w:divBdr>
        <w:top w:val="none" w:sz="0" w:space="0" w:color="auto"/>
        <w:left w:val="none" w:sz="0" w:space="0" w:color="auto"/>
        <w:bottom w:val="none" w:sz="0" w:space="0" w:color="auto"/>
        <w:right w:val="none" w:sz="0" w:space="0" w:color="auto"/>
      </w:divBdr>
    </w:div>
    <w:div w:id="553078111">
      <w:bodyDiv w:val="1"/>
      <w:marLeft w:val="0"/>
      <w:marRight w:val="0"/>
      <w:marTop w:val="0"/>
      <w:marBottom w:val="0"/>
      <w:divBdr>
        <w:top w:val="none" w:sz="0" w:space="0" w:color="auto"/>
        <w:left w:val="none" w:sz="0" w:space="0" w:color="auto"/>
        <w:bottom w:val="none" w:sz="0" w:space="0" w:color="auto"/>
        <w:right w:val="none" w:sz="0" w:space="0" w:color="auto"/>
      </w:divBdr>
      <w:divsChild>
        <w:div w:id="1117944171">
          <w:marLeft w:val="0"/>
          <w:marRight w:val="0"/>
          <w:marTop w:val="0"/>
          <w:marBottom w:val="0"/>
          <w:divBdr>
            <w:top w:val="none" w:sz="0" w:space="0" w:color="auto"/>
            <w:left w:val="none" w:sz="0" w:space="0" w:color="auto"/>
            <w:bottom w:val="none" w:sz="0" w:space="0" w:color="auto"/>
            <w:right w:val="none" w:sz="0" w:space="0" w:color="auto"/>
          </w:divBdr>
          <w:divsChild>
            <w:div w:id="1278870376">
              <w:marLeft w:val="0"/>
              <w:marRight w:val="0"/>
              <w:marTop w:val="0"/>
              <w:marBottom w:val="0"/>
              <w:divBdr>
                <w:top w:val="none" w:sz="0" w:space="0" w:color="auto"/>
                <w:left w:val="none" w:sz="0" w:space="0" w:color="auto"/>
                <w:bottom w:val="none" w:sz="0" w:space="0" w:color="auto"/>
                <w:right w:val="none" w:sz="0" w:space="0" w:color="auto"/>
              </w:divBdr>
              <w:divsChild>
                <w:div w:id="222720717">
                  <w:marLeft w:val="0"/>
                  <w:marRight w:val="0"/>
                  <w:marTop w:val="0"/>
                  <w:marBottom w:val="0"/>
                  <w:divBdr>
                    <w:top w:val="none" w:sz="0" w:space="0" w:color="auto"/>
                    <w:left w:val="none" w:sz="0" w:space="0" w:color="auto"/>
                    <w:bottom w:val="none" w:sz="0" w:space="0" w:color="auto"/>
                    <w:right w:val="none" w:sz="0" w:space="0" w:color="auto"/>
                  </w:divBdr>
                  <w:divsChild>
                    <w:div w:id="673190547">
                      <w:marLeft w:val="0"/>
                      <w:marRight w:val="0"/>
                      <w:marTop w:val="0"/>
                      <w:marBottom w:val="0"/>
                      <w:divBdr>
                        <w:top w:val="none" w:sz="0" w:space="0" w:color="auto"/>
                        <w:left w:val="none" w:sz="0" w:space="0" w:color="auto"/>
                        <w:bottom w:val="none" w:sz="0" w:space="0" w:color="auto"/>
                        <w:right w:val="none" w:sz="0" w:space="0" w:color="auto"/>
                      </w:divBdr>
                      <w:divsChild>
                        <w:div w:id="291641113">
                          <w:marLeft w:val="0"/>
                          <w:marRight w:val="0"/>
                          <w:marTop w:val="0"/>
                          <w:marBottom w:val="0"/>
                          <w:divBdr>
                            <w:top w:val="none" w:sz="0" w:space="0" w:color="auto"/>
                            <w:left w:val="none" w:sz="0" w:space="0" w:color="auto"/>
                            <w:bottom w:val="none" w:sz="0" w:space="0" w:color="auto"/>
                            <w:right w:val="none" w:sz="0" w:space="0" w:color="auto"/>
                          </w:divBdr>
                          <w:divsChild>
                            <w:div w:id="172009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7107624">
      <w:bodyDiv w:val="1"/>
      <w:marLeft w:val="0"/>
      <w:marRight w:val="0"/>
      <w:marTop w:val="0"/>
      <w:marBottom w:val="0"/>
      <w:divBdr>
        <w:top w:val="none" w:sz="0" w:space="0" w:color="auto"/>
        <w:left w:val="none" w:sz="0" w:space="0" w:color="auto"/>
        <w:bottom w:val="none" w:sz="0" w:space="0" w:color="auto"/>
        <w:right w:val="none" w:sz="0" w:space="0" w:color="auto"/>
      </w:divBdr>
    </w:div>
    <w:div w:id="715273510">
      <w:bodyDiv w:val="1"/>
      <w:marLeft w:val="0"/>
      <w:marRight w:val="0"/>
      <w:marTop w:val="0"/>
      <w:marBottom w:val="0"/>
      <w:divBdr>
        <w:top w:val="none" w:sz="0" w:space="0" w:color="auto"/>
        <w:left w:val="none" w:sz="0" w:space="0" w:color="auto"/>
        <w:bottom w:val="none" w:sz="0" w:space="0" w:color="auto"/>
        <w:right w:val="none" w:sz="0" w:space="0" w:color="auto"/>
      </w:divBdr>
    </w:div>
    <w:div w:id="733892786">
      <w:bodyDiv w:val="1"/>
      <w:marLeft w:val="0"/>
      <w:marRight w:val="0"/>
      <w:marTop w:val="0"/>
      <w:marBottom w:val="0"/>
      <w:divBdr>
        <w:top w:val="none" w:sz="0" w:space="0" w:color="auto"/>
        <w:left w:val="none" w:sz="0" w:space="0" w:color="auto"/>
        <w:bottom w:val="none" w:sz="0" w:space="0" w:color="auto"/>
        <w:right w:val="none" w:sz="0" w:space="0" w:color="auto"/>
      </w:divBdr>
    </w:div>
    <w:div w:id="803501540">
      <w:bodyDiv w:val="1"/>
      <w:marLeft w:val="0"/>
      <w:marRight w:val="0"/>
      <w:marTop w:val="0"/>
      <w:marBottom w:val="0"/>
      <w:divBdr>
        <w:top w:val="none" w:sz="0" w:space="0" w:color="auto"/>
        <w:left w:val="none" w:sz="0" w:space="0" w:color="auto"/>
        <w:bottom w:val="none" w:sz="0" w:space="0" w:color="auto"/>
        <w:right w:val="none" w:sz="0" w:space="0" w:color="auto"/>
      </w:divBdr>
    </w:div>
    <w:div w:id="828062506">
      <w:bodyDiv w:val="1"/>
      <w:marLeft w:val="0"/>
      <w:marRight w:val="0"/>
      <w:marTop w:val="0"/>
      <w:marBottom w:val="0"/>
      <w:divBdr>
        <w:top w:val="none" w:sz="0" w:space="0" w:color="auto"/>
        <w:left w:val="none" w:sz="0" w:space="0" w:color="auto"/>
        <w:bottom w:val="none" w:sz="0" w:space="0" w:color="auto"/>
        <w:right w:val="none" w:sz="0" w:space="0" w:color="auto"/>
      </w:divBdr>
    </w:div>
    <w:div w:id="830098522">
      <w:bodyDiv w:val="1"/>
      <w:marLeft w:val="0"/>
      <w:marRight w:val="0"/>
      <w:marTop w:val="0"/>
      <w:marBottom w:val="0"/>
      <w:divBdr>
        <w:top w:val="none" w:sz="0" w:space="0" w:color="auto"/>
        <w:left w:val="none" w:sz="0" w:space="0" w:color="auto"/>
        <w:bottom w:val="none" w:sz="0" w:space="0" w:color="auto"/>
        <w:right w:val="none" w:sz="0" w:space="0" w:color="auto"/>
      </w:divBdr>
    </w:div>
    <w:div w:id="853610071">
      <w:bodyDiv w:val="1"/>
      <w:marLeft w:val="0"/>
      <w:marRight w:val="0"/>
      <w:marTop w:val="0"/>
      <w:marBottom w:val="0"/>
      <w:divBdr>
        <w:top w:val="none" w:sz="0" w:space="0" w:color="auto"/>
        <w:left w:val="none" w:sz="0" w:space="0" w:color="auto"/>
        <w:bottom w:val="none" w:sz="0" w:space="0" w:color="auto"/>
        <w:right w:val="none" w:sz="0" w:space="0" w:color="auto"/>
      </w:divBdr>
    </w:div>
    <w:div w:id="898327597">
      <w:bodyDiv w:val="1"/>
      <w:marLeft w:val="0"/>
      <w:marRight w:val="0"/>
      <w:marTop w:val="0"/>
      <w:marBottom w:val="0"/>
      <w:divBdr>
        <w:top w:val="none" w:sz="0" w:space="0" w:color="auto"/>
        <w:left w:val="none" w:sz="0" w:space="0" w:color="auto"/>
        <w:bottom w:val="none" w:sz="0" w:space="0" w:color="auto"/>
        <w:right w:val="none" w:sz="0" w:space="0" w:color="auto"/>
      </w:divBdr>
    </w:div>
    <w:div w:id="901257174">
      <w:bodyDiv w:val="1"/>
      <w:marLeft w:val="0"/>
      <w:marRight w:val="0"/>
      <w:marTop w:val="0"/>
      <w:marBottom w:val="0"/>
      <w:divBdr>
        <w:top w:val="none" w:sz="0" w:space="0" w:color="auto"/>
        <w:left w:val="none" w:sz="0" w:space="0" w:color="auto"/>
        <w:bottom w:val="none" w:sz="0" w:space="0" w:color="auto"/>
        <w:right w:val="none" w:sz="0" w:space="0" w:color="auto"/>
      </w:divBdr>
    </w:div>
    <w:div w:id="921182885">
      <w:bodyDiv w:val="1"/>
      <w:marLeft w:val="0"/>
      <w:marRight w:val="0"/>
      <w:marTop w:val="0"/>
      <w:marBottom w:val="0"/>
      <w:divBdr>
        <w:top w:val="none" w:sz="0" w:space="0" w:color="auto"/>
        <w:left w:val="none" w:sz="0" w:space="0" w:color="auto"/>
        <w:bottom w:val="none" w:sz="0" w:space="0" w:color="auto"/>
        <w:right w:val="none" w:sz="0" w:space="0" w:color="auto"/>
      </w:divBdr>
    </w:div>
    <w:div w:id="961348954">
      <w:bodyDiv w:val="1"/>
      <w:marLeft w:val="0"/>
      <w:marRight w:val="0"/>
      <w:marTop w:val="0"/>
      <w:marBottom w:val="0"/>
      <w:divBdr>
        <w:top w:val="none" w:sz="0" w:space="0" w:color="auto"/>
        <w:left w:val="none" w:sz="0" w:space="0" w:color="auto"/>
        <w:bottom w:val="none" w:sz="0" w:space="0" w:color="auto"/>
        <w:right w:val="none" w:sz="0" w:space="0" w:color="auto"/>
      </w:divBdr>
    </w:div>
    <w:div w:id="966082170">
      <w:bodyDiv w:val="1"/>
      <w:marLeft w:val="0"/>
      <w:marRight w:val="0"/>
      <w:marTop w:val="0"/>
      <w:marBottom w:val="0"/>
      <w:divBdr>
        <w:top w:val="none" w:sz="0" w:space="0" w:color="auto"/>
        <w:left w:val="none" w:sz="0" w:space="0" w:color="auto"/>
        <w:bottom w:val="none" w:sz="0" w:space="0" w:color="auto"/>
        <w:right w:val="none" w:sz="0" w:space="0" w:color="auto"/>
      </w:divBdr>
    </w:div>
    <w:div w:id="993531264">
      <w:bodyDiv w:val="1"/>
      <w:marLeft w:val="0"/>
      <w:marRight w:val="0"/>
      <w:marTop w:val="0"/>
      <w:marBottom w:val="0"/>
      <w:divBdr>
        <w:top w:val="none" w:sz="0" w:space="0" w:color="auto"/>
        <w:left w:val="none" w:sz="0" w:space="0" w:color="auto"/>
        <w:bottom w:val="none" w:sz="0" w:space="0" w:color="auto"/>
        <w:right w:val="none" w:sz="0" w:space="0" w:color="auto"/>
      </w:divBdr>
    </w:div>
    <w:div w:id="1018895328">
      <w:bodyDiv w:val="1"/>
      <w:marLeft w:val="0"/>
      <w:marRight w:val="0"/>
      <w:marTop w:val="0"/>
      <w:marBottom w:val="0"/>
      <w:divBdr>
        <w:top w:val="none" w:sz="0" w:space="0" w:color="auto"/>
        <w:left w:val="none" w:sz="0" w:space="0" w:color="auto"/>
        <w:bottom w:val="none" w:sz="0" w:space="0" w:color="auto"/>
        <w:right w:val="none" w:sz="0" w:space="0" w:color="auto"/>
      </w:divBdr>
    </w:div>
    <w:div w:id="1095440216">
      <w:bodyDiv w:val="1"/>
      <w:marLeft w:val="0"/>
      <w:marRight w:val="0"/>
      <w:marTop w:val="0"/>
      <w:marBottom w:val="0"/>
      <w:divBdr>
        <w:top w:val="none" w:sz="0" w:space="0" w:color="auto"/>
        <w:left w:val="none" w:sz="0" w:space="0" w:color="auto"/>
        <w:bottom w:val="none" w:sz="0" w:space="0" w:color="auto"/>
        <w:right w:val="none" w:sz="0" w:space="0" w:color="auto"/>
      </w:divBdr>
    </w:div>
    <w:div w:id="1104036639">
      <w:bodyDiv w:val="1"/>
      <w:marLeft w:val="0"/>
      <w:marRight w:val="0"/>
      <w:marTop w:val="0"/>
      <w:marBottom w:val="0"/>
      <w:divBdr>
        <w:top w:val="none" w:sz="0" w:space="0" w:color="auto"/>
        <w:left w:val="none" w:sz="0" w:space="0" w:color="auto"/>
        <w:bottom w:val="none" w:sz="0" w:space="0" w:color="auto"/>
        <w:right w:val="none" w:sz="0" w:space="0" w:color="auto"/>
      </w:divBdr>
    </w:div>
    <w:div w:id="1140222321">
      <w:bodyDiv w:val="1"/>
      <w:marLeft w:val="0"/>
      <w:marRight w:val="0"/>
      <w:marTop w:val="0"/>
      <w:marBottom w:val="0"/>
      <w:divBdr>
        <w:top w:val="none" w:sz="0" w:space="0" w:color="auto"/>
        <w:left w:val="none" w:sz="0" w:space="0" w:color="auto"/>
        <w:bottom w:val="none" w:sz="0" w:space="0" w:color="auto"/>
        <w:right w:val="none" w:sz="0" w:space="0" w:color="auto"/>
      </w:divBdr>
    </w:div>
    <w:div w:id="1143428929">
      <w:bodyDiv w:val="1"/>
      <w:marLeft w:val="0"/>
      <w:marRight w:val="0"/>
      <w:marTop w:val="0"/>
      <w:marBottom w:val="0"/>
      <w:divBdr>
        <w:top w:val="none" w:sz="0" w:space="0" w:color="auto"/>
        <w:left w:val="none" w:sz="0" w:space="0" w:color="auto"/>
        <w:bottom w:val="none" w:sz="0" w:space="0" w:color="auto"/>
        <w:right w:val="none" w:sz="0" w:space="0" w:color="auto"/>
      </w:divBdr>
      <w:divsChild>
        <w:div w:id="1379939966">
          <w:marLeft w:val="0"/>
          <w:marRight w:val="0"/>
          <w:marTop w:val="0"/>
          <w:marBottom w:val="0"/>
          <w:divBdr>
            <w:top w:val="none" w:sz="0" w:space="0" w:color="auto"/>
            <w:left w:val="none" w:sz="0" w:space="0" w:color="auto"/>
            <w:bottom w:val="none" w:sz="0" w:space="0" w:color="auto"/>
            <w:right w:val="none" w:sz="0" w:space="0" w:color="auto"/>
          </w:divBdr>
        </w:div>
        <w:div w:id="1393117421">
          <w:marLeft w:val="0"/>
          <w:marRight w:val="0"/>
          <w:marTop w:val="0"/>
          <w:marBottom w:val="0"/>
          <w:divBdr>
            <w:top w:val="none" w:sz="0" w:space="0" w:color="auto"/>
            <w:left w:val="none" w:sz="0" w:space="0" w:color="auto"/>
            <w:bottom w:val="none" w:sz="0" w:space="0" w:color="auto"/>
            <w:right w:val="none" w:sz="0" w:space="0" w:color="auto"/>
          </w:divBdr>
        </w:div>
      </w:divsChild>
    </w:div>
    <w:div w:id="1161002815">
      <w:bodyDiv w:val="1"/>
      <w:marLeft w:val="0"/>
      <w:marRight w:val="0"/>
      <w:marTop w:val="0"/>
      <w:marBottom w:val="0"/>
      <w:divBdr>
        <w:top w:val="none" w:sz="0" w:space="0" w:color="auto"/>
        <w:left w:val="none" w:sz="0" w:space="0" w:color="auto"/>
        <w:bottom w:val="none" w:sz="0" w:space="0" w:color="auto"/>
        <w:right w:val="none" w:sz="0" w:space="0" w:color="auto"/>
      </w:divBdr>
    </w:div>
    <w:div w:id="1187059755">
      <w:bodyDiv w:val="1"/>
      <w:marLeft w:val="0"/>
      <w:marRight w:val="0"/>
      <w:marTop w:val="0"/>
      <w:marBottom w:val="0"/>
      <w:divBdr>
        <w:top w:val="none" w:sz="0" w:space="0" w:color="auto"/>
        <w:left w:val="none" w:sz="0" w:space="0" w:color="auto"/>
        <w:bottom w:val="none" w:sz="0" w:space="0" w:color="auto"/>
        <w:right w:val="none" w:sz="0" w:space="0" w:color="auto"/>
      </w:divBdr>
    </w:div>
    <w:div w:id="1218083812">
      <w:bodyDiv w:val="1"/>
      <w:marLeft w:val="0"/>
      <w:marRight w:val="0"/>
      <w:marTop w:val="0"/>
      <w:marBottom w:val="0"/>
      <w:divBdr>
        <w:top w:val="none" w:sz="0" w:space="0" w:color="auto"/>
        <w:left w:val="none" w:sz="0" w:space="0" w:color="auto"/>
        <w:bottom w:val="none" w:sz="0" w:space="0" w:color="auto"/>
        <w:right w:val="none" w:sz="0" w:space="0" w:color="auto"/>
      </w:divBdr>
    </w:div>
    <w:div w:id="1241671191">
      <w:bodyDiv w:val="1"/>
      <w:marLeft w:val="0"/>
      <w:marRight w:val="0"/>
      <w:marTop w:val="0"/>
      <w:marBottom w:val="0"/>
      <w:divBdr>
        <w:top w:val="none" w:sz="0" w:space="0" w:color="auto"/>
        <w:left w:val="none" w:sz="0" w:space="0" w:color="auto"/>
        <w:bottom w:val="none" w:sz="0" w:space="0" w:color="auto"/>
        <w:right w:val="none" w:sz="0" w:space="0" w:color="auto"/>
      </w:divBdr>
    </w:div>
    <w:div w:id="1242134830">
      <w:bodyDiv w:val="1"/>
      <w:marLeft w:val="0"/>
      <w:marRight w:val="0"/>
      <w:marTop w:val="0"/>
      <w:marBottom w:val="0"/>
      <w:divBdr>
        <w:top w:val="none" w:sz="0" w:space="0" w:color="auto"/>
        <w:left w:val="none" w:sz="0" w:space="0" w:color="auto"/>
        <w:bottom w:val="none" w:sz="0" w:space="0" w:color="auto"/>
        <w:right w:val="none" w:sz="0" w:space="0" w:color="auto"/>
      </w:divBdr>
    </w:div>
    <w:div w:id="1291284667">
      <w:bodyDiv w:val="1"/>
      <w:marLeft w:val="0"/>
      <w:marRight w:val="0"/>
      <w:marTop w:val="0"/>
      <w:marBottom w:val="0"/>
      <w:divBdr>
        <w:top w:val="none" w:sz="0" w:space="0" w:color="auto"/>
        <w:left w:val="none" w:sz="0" w:space="0" w:color="auto"/>
        <w:bottom w:val="none" w:sz="0" w:space="0" w:color="auto"/>
        <w:right w:val="none" w:sz="0" w:space="0" w:color="auto"/>
      </w:divBdr>
    </w:div>
    <w:div w:id="1306543237">
      <w:bodyDiv w:val="1"/>
      <w:marLeft w:val="0"/>
      <w:marRight w:val="0"/>
      <w:marTop w:val="0"/>
      <w:marBottom w:val="0"/>
      <w:divBdr>
        <w:top w:val="none" w:sz="0" w:space="0" w:color="auto"/>
        <w:left w:val="none" w:sz="0" w:space="0" w:color="auto"/>
        <w:bottom w:val="none" w:sz="0" w:space="0" w:color="auto"/>
        <w:right w:val="none" w:sz="0" w:space="0" w:color="auto"/>
      </w:divBdr>
    </w:div>
    <w:div w:id="1314067334">
      <w:bodyDiv w:val="1"/>
      <w:marLeft w:val="0"/>
      <w:marRight w:val="0"/>
      <w:marTop w:val="0"/>
      <w:marBottom w:val="0"/>
      <w:divBdr>
        <w:top w:val="none" w:sz="0" w:space="0" w:color="auto"/>
        <w:left w:val="none" w:sz="0" w:space="0" w:color="auto"/>
        <w:bottom w:val="none" w:sz="0" w:space="0" w:color="auto"/>
        <w:right w:val="none" w:sz="0" w:space="0" w:color="auto"/>
      </w:divBdr>
    </w:div>
    <w:div w:id="1329017688">
      <w:bodyDiv w:val="1"/>
      <w:marLeft w:val="0"/>
      <w:marRight w:val="0"/>
      <w:marTop w:val="0"/>
      <w:marBottom w:val="0"/>
      <w:divBdr>
        <w:top w:val="none" w:sz="0" w:space="0" w:color="auto"/>
        <w:left w:val="none" w:sz="0" w:space="0" w:color="auto"/>
        <w:bottom w:val="none" w:sz="0" w:space="0" w:color="auto"/>
        <w:right w:val="none" w:sz="0" w:space="0" w:color="auto"/>
      </w:divBdr>
      <w:divsChild>
        <w:div w:id="1106728845">
          <w:marLeft w:val="0"/>
          <w:marRight w:val="0"/>
          <w:marTop w:val="0"/>
          <w:marBottom w:val="0"/>
          <w:divBdr>
            <w:top w:val="none" w:sz="0" w:space="0" w:color="auto"/>
            <w:left w:val="none" w:sz="0" w:space="0" w:color="auto"/>
            <w:bottom w:val="none" w:sz="0" w:space="0" w:color="auto"/>
            <w:right w:val="none" w:sz="0" w:space="0" w:color="auto"/>
          </w:divBdr>
        </w:div>
        <w:div w:id="2039818381">
          <w:marLeft w:val="0"/>
          <w:marRight w:val="0"/>
          <w:marTop w:val="0"/>
          <w:marBottom w:val="0"/>
          <w:divBdr>
            <w:top w:val="none" w:sz="0" w:space="0" w:color="auto"/>
            <w:left w:val="none" w:sz="0" w:space="0" w:color="auto"/>
            <w:bottom w:val="none" w:sz="0" w:space="0" w:color="auto"/>
            <w:right w:val="none" w:sz="0" w:space="0" w:color="auto"/>
          </w:divBdr>
        </w:div>
      </w:divsChild>
    </w:div>
    <w:div w:id="1343825074">
      <w:bodyDiv w:val="1"/>
      <w:marLeft w:val="0"/>
      <w:marRight w:val="0"/>
      <w:marTop w:val="0"/>
      <w:marBottom w:val="0"/>
      <w:divBdr>
        <w:top w:val="none" w:sz="0" w:space="0" w:color="auto"/>
        <w:left w:val="none" w:sz="0" w:space="0" w:color="auto"/>
        <w:bottom w:val="none" w:sz="0" w:space="0" w:color="auto"/>
        <w:right w:val="none" w:sz="0" w:space="0" w:color="auto"/>
      </w:divBdr>
    </w:div>
    <w:div w:id="1345480193">
      <w:bodyDiv w:val="1"/>
      <w:marLeft w:val="0"/>
      <w:marRight w:val="0"/>
      <w:marTop w:val="0"/>
      <w:marBottom w:val="0"/>
      <w:divBdr>
        <w:top w:val="none" w:sz="0" w:space="0" w:color="auto"/>
        <w:left w:val="none" w:sz="0" w:space="0" w:color="auto"/>
        <w:bottom w:val="none" w:sz="0" w:space="0" w:color="auto"/>
        <w:right w:val="none" w:sz="0" w:space="0" w:color="auto"/>
      </w:divBdr>
    </w:div>
    <w:div w:id="1350178023">
      <w:bodyDiv w:val="1"/>
      <w:marLeft w:val="0"/>
      <w:marRight w:val="0"/>
      <w:marTop w:val="0"/>
      <w:marBottom w:val="0"/>
      <w:divBdr>
        <w:top w:val="none" w:sz="0" w:space="0" w:color="auto"/>
        <w:left w:val="none" w:sz="0" w:space="0" w:color="auto"/>
        <w:bottom w:val="none" w:sz="0" w:space="0" w:color="auto"/>
        <w:right w:val="none" w:sz="0" w:space="0" w:color="auto"/>
      </w:divBdr>
    </w:div>
    <w:div w:id="1353609104">
      <w:bodyDiv w:val="1"/>
      <w:marLeft w:val="0"/>
      <w:marRight w:val="0"/>
      <w:marTop w:val="0"/>
      <w:marBottom w:val="0"/>
      <w:divBdr>
        <w:top w:val="none" w:sz="0" w:space="0" w:color="auto"/>
        <w:left w:val="none" w:sz="0" w:space="0" w:color="auto"/>
        <w:bottom w:val="none" w:sz="0" w:space="0" w:color="auto"/>
        <w:right w:val="none" w:sz="0" w:space="0" w:color="auto"/>
      </w:divBdr>
    </w:div>
    <w:div w:id="1380519671">
      <w:bodyDiv w:val="1"/>
      <w:marLeft w:val="0"/>
      <w:marRight w:val="0"/>
      <w:marTop w:val="0"/>
      <w:marBottom w:val="0"/>
      <w:divBdr>
        <w:top w:val="none" w:sz="0" w:space="0" w:color="auto"/>
        <w:left w:val="none" w:sz="0" w:space="0" w:color="auto"/>
        <w:bottom w:val="none" w:sz="0" w:space="0" w:color="auto"/>
        <w:right w:val="none" w:sz="0" w:space="0" w:color="auto"/>
      </w:divBdr>
    </w:div>
    <w:div w:id="1412003045">
      <w:bodyDiv w:val="1"/>
      <w:marLeft w:val="0"/>
      <w:marRight w:val="0"/>
      <w:marTop w:val="0"/>
      <w:marBottom w:val="0"/>
      <w:divBdr>
        <w:top w:val="none" w:sz="0" w:space="0" w:color="auto"/>
        <w:left w:val="none" w:sz="0" w:space="0" w:color="auto"/>
        <w:bottom w:val="none" w:sz="0" w:space="0" w:color="auto"/>
        <w:right w:val="none" w:sz="0" w:space="0" w:color="auto"/>
      </w:divBdr>
    </w:div>
    <w:div w:id="1412658986">
      <w:bodyDiv w:val="1"/>
      <w:marLeft w:val="0"/>
      <w:marRight w:val="0"/>
      <w:marTop w:val="0"/>
      <w:marBottom w:val="0"/>
      <w:divBdr>
        <w:top w:val="none" w:sz="0" w:space="0" w:color="auto"/>
        <w:left w:val="none" w:sz="0" w:space="0" w:color="auto"/>
        <w:bottom w:val="none" w:sz="0" w:space="0" w:color="auto"/>
        <w:right w:val="none" w:sz="0" w:space="0" w:color="auto"/>
      </w:divBdr>
    </w:div>
    <w:div w:id="1415937206">
      <w:bodyDiv w:val="1"/>
      <w:marLeft w:val="0"/>
      <w:marRight w:val="0"/>
      <w:marTop w:val="0"/>
      <w:marBottom w:val="0"/>
      <w:divBdr>
        <w:top w:val="none" w:sz="0" w:space="0" w:color="auto"/>
        <w:left w:val="none" w:sz="0" w:space="0" w:color="auto"/>
        <w:bottom w:val="none" w:sz="0" w:space="0" w:color="auto"/>
        <w:right w:val="none" w:sz="0" w:space="0" w:color="auto"/>
      </w:divBdr>
      <w:divsChild>
        <w:div w:id="351415898">
          <w:marLeft w:val="0"/>
          <w:marRight w:val="0"/>
          <w:marTop w:val="0"/>
          <w:marBottom w:val="0"/>
          <w:divBdr>
            <w:top w:val="none" w:sz="0" w:space="0" w:color="auto"/>
            <w:left w:val="none" w:sz="0" w:space="0" w:color="auto"/>
            <w:bottom w:val="none" w:sz="0" w:space="0" w:color="auto"/>
            <w:right w:val="none" w:sz="0" w:space="0" w:color="auto"/>
          </w:divBdr>
        </w:div>
      </w:divsChild>
    </w:div>
    <w:div w:id="1447651809">
      <w:bodyDiv w:val="1"/>
      <w:marLeft w:val="0"/>
      <w:marRight w:val="0"/>
      <w:marTop w:val="0"/>
      <w:marBottom w:val="0"/>
      <w:divBdr>
        <w:top w:val="none" w:sz="0" w:space="0" w:color="auto"/>
        <w:left w:val="none" w:sz="0" w:space="0" w:color="auto"/>
        <w:bottom w:val="none" w:sz="0" w:space="0" w:color="auto"/>
        <w:right w:val="none" w:sz="0" w:space="0" w:color="auto"/>
      </w:divBdr>
    </w:div>
    <w:div w:id="1448038907">
      <w:bodyDiv w:val="1"/>
      <w:marLeft w:val="0"/>
      <w:marRight w:val="0"/>
      <w:marTop w:val="0"/>
      <w:marBottom w:val="0"/>
      <w:divBdr>
        <w:top w:val="none" w:sz="0" w:space="0" w:color="auto"/>
        <w:left w:val="none" w:sz="0" w:space="0" w:color="auto"/>
        <w:bottom w:val="none" w:sz="0" w:space="0" w:color="auto"/>
        <w:right w:val="none" w:sz="0" w:space="0" w:color="auto"/>
      </w:divBdr>
    </w:div>
    <w:div w:id="1479303759">
      <w:bodyDiv w:val="1"/>
      <w:marLeft w:val="0"/>
      <w:marRight w:val="0"/>
      <w:marTop w:val="0"/>
      <w:marBottom w:val="0"/>
      <w:divBdr>
        <w:top w:val="none" w:sz="0" w:space="0" w:color="auto"/>
        <w:left w:val="none" w:sz="0" w:space="0" w:color="auto"/>
        <w:bottom w:val="none" w:sz="0" w:space="0" w:color="auto"/>
        <w:right w:val="none" w:sz="0" w:space="0" w:color="auto"/>
      </w:divBdr>
    </w:div>
    <w:div w:id="1480731536">
      <w:bodyDiv w:val="1"/>
      <w:marLeft w:val="0"/>
      <w:marRight w:val="0"/>
      <w:marTop w:val="0"/>
      <w:marBottom w:val="0"/>
      <w:divBdr>
        <w:top w:val="none" w:sz="0" w:space="0" w:color="auto"/>
        <w:left w:val="none" w:sz="0" w:space="0" w:color="auto"/>
        <w:bottom w:val="none" w:sz="0" w:space="0" w:color="auto"/>
        <w:right w:val="none" w:sz="0" w:space="0" w:color="auto"/>
      </w:divBdr>
    </w:div>
    <w:div w:id="1480925119">
      <w:bodyDiv w:val="1"/>
      <w:marLeft w:val="0"/>
      <w:marRight w:val="0"/>
      <w:marTop w:val="0"/>
      <w:marBottom w:val="0"/>
      <w:divBdr>
        <w:top w:val="none" w:sz="0" w:space="0" w:color="auto"/>
        <w:left w:val="none" w:sz="0" w:space="0" w:color="auto"/>
        <w:bottom w:val="none" w:sz="0" w:space="0" w:color="auto"/>
        <w:right w:val="none" w:sz="0" w:space="0" w:color="auto"/>
      </w:divBdr>
    </w:div>
    <w:div w:id="1509906064">
      <w:bodyDiv w:val="1"/>
      <w:marLeft w:val="0"/>
      <w:marRight w:val="0"/>
      <w:marTop w:val="0"/>
      <w:marBottom w:val="0"/>
      <w:divBdr>
        <w:top w:val="none" w:sz="0" w:space="0" w:color="auto"/>
        <w:left w:val="none" w:sz="0" w:space="0" w:color="auto"/>
        <w:bottom w:val="none" w:sz="0" w:space="0" w:color="auto"/>
        <w:right w:val="none" w:sz="0" w:space="0" w:color="auto"/>
      </w:divBdr>
    </w:div>
    <w:div w:id="1517159890">
      <w:bodyDiv w:val="1"/>
      <w:marLeft w:val="0"/>
      <w:marRight w:val="0"/>
      <w:marTop w:val="0"/>
      <w:marBottom w:val="0"/>
      <w:divBdr>
        <w:top w:val="none" w:sz="0" w:space="0" w:color="auto"/>
        <w:left w:val="none" w:sz="0" w:space="0" w:color="auto"/>
        <w:bottom w:val="none" w:sz="0" w:space="0" w:color="auto"/>
        <w:right w:val="none" w:sz="0" w:space="0" w:color="auto"/>
      </w:divBdr>
    </w:div>
    <w:div w:id="1532573859">
      <w:bodyDiv w:val="1"/>
      <w:marLeft w:val="0"/>
      <w:marRight w:val="0"/>
      <w:marTop w:val="0"/>
      <w:marBottom w:val="0"/>
      <w:divBdr>
        <w:top w:val="none" w:sz="0" w:space="0" w:color="auto"/>
        <w:left w:val="none" w:sz="0" w:space="0" w:color="auto"/>
        <w:bottom w:val="none" w:sz="0" w:space="0" w:color="auto"/>
        <w:right w:val="none" w:sz="0" w:space="0" w:color="auto"/>
      </w:divBdr>
    </w:div>
    <w:div w:id="1551259057">
      <w:bodyDiv w:val="1"/>
      <w:marLeft w:val="0"/>
      <w:marRight w:val="0"/>
      <w:marTop w:val="0"/>
      <w:marBottom w:val="0"/>
      <w:divBdr>
        <w:top w:val="none" w:sz="0" w:space="0" w:color="auto"/>
        <w:left w:val="none" w:sz="0" w:space="0" w:color="auto"/>
        <w:bottom w:val="none" w:sz="0" w:space="0" w:color="auto"/>
        <w:right w:val="none" w:sz="0" w:space="0" w:color="auto"/>
      </w:divBdr>
      <w:divsChild>
        <w:div w:id="1906645843">
          <w:marLeft w:val="0"/>
          <w:marRight w:val="0"/>
          <w:marTop w:val="0"/>
          <w:marBottom w:val="0"/>
          <w:divBdr>
            <w:top w:val="none" w:sz="0" w:space="0" w:color="auto"/>
            <w:left w:val="none" w:sz="0" w:space="0" w:color="auto"/>
            <w:bottom w:val="none" w:sz="0" w:space="0" w:color="auto"/>
            <w:right w:val="none" w:sz="0" w:space="0" w:color="auto"/>
          </w:divBdr>
        </w:div>
      </w:divsChild>
    </w:div>
    <w:div w:id="1552569958">
      <w:bodyDiv w:val="1"/>
      <w:marLeft w:val="0"/>
      <w:marRight w:val="0"/>
      <w:marTop w:val="0"/>
      <w:marBottom w:val="0"/>
      <w:divBdr>
        <w:top w:val="none" w:sz="0" w:space="0" w:color="auto"/>
        <w:left w:val="none" w:sz="0" w:space="0" w:color="auto"/>
        <w:bottom w:val="none" w:sz="0" w:space="0" w:color="auto"/>
        <w:right w:val="none" w:sz="0" w:space="0" w:color="auto"/>
      </w:divBdr>
      <w:divsChild>
        <w:div w:id="1088037239">
          <w:marLeft w:val="0"/>
          <w:marRight w:val="0"/>
          <w:marTop w:val="0"/>
          <w:marBottom w:val="0"/>
          <w:divBdr>
            <w:top w:val="none" w:sz="0" w:space="0" w:color="auto"/>
            <w:left w:val="none" w:sz="0" w:space="0" w:color="auto"/>
            <w:bottom w:val="none" w:sz="0" w:space="0" w:color="auto"/>
            <w:right w:val="none" w:sz="0" w:space="0" w:color="auto"/>
          </w:divBdr>
          <w:divsChild>
            <w:div w:id="2079086402">
              <w:marLeft w:val="0"/>
              <w:marRight w:val="0"/>
              <w:marTop w:val="0"/>
              <w:marBottom w:val="0"/>
              <w:divBdr>
                <w:top w:val="none" w:sz="0" w:space="0" w:color="auto"/>
                <w:left w:val="none" w:sz="0" w:space="0" w:color="auto"/>
                <w:bottom w:val="none" w:sz="0" w:space="0" w:color="auto"/>
                <w:right w:val="none" w:sz="0" w:space="0" w:color="auto"/>
              </w:divBdr>
            </w:div>
            <w:div w:id="761688250">
              <w:marLeft w:val="0"/>
              <w:marRight w:val="0"/>
              <w:marTop w:val="0"/>
              <w:marBottom w:val="0"/>
              <w:divBdr>
                <w:top w:val="none" w:sz="0" w:space="0" w:color="auto"/>
                <w:left w:val="none" w:sz="0" w:space="0" w:color="auto"/>
                <w:bottom w:val="none" w:sz="0" w:space="0" w:color="auto"/>
                <w:right w:val="none" w:sz="0" w:space="0" w:color="auto"/>
              </w:divBdr>
            </w:div>
          </w:divsChild>
        </w:div>
        <w:div w:id="1832870764">
          <w:marLeft w:val="0"/>
          <w:marRight w:val="0"/>
          <w:marTop w:val="0"/>
          <w:marBottom w:val="0"/>
          <w:divBdr>
            <w:top w:val="none" w:sz="0" w:space="0" w:color="auto"/>
            <w:left w:val="none" w:sz="0" w:space="0" w:color="auto"/>
            <w:bottom w:val="none" w:sz="0" w:space="0" w:color="auto"/>
            <w:right w:val="none" w:sz="0" w:space="0" w:color="auto"/>
          </w:divBdr>
        </w:div>
      </w:divsChild>
    </w:div>
    <w:div w:id="1556309237">
      <w:bodyDiv w:val="1"/>
      <w:marLeft w:val="0"/>
      <w:marRight w:val="0"/>
      <w:marTop w:val="0"/>
      <w:marBottom w:val="0"/>
      <w:divBdr>
        <w:top w:val="none" w:sz="0" w:space="0" w:color="auto"/>
        <w:left w:val="none" w:sz="0" w:space="0" w:color="auto"/>
        <w:bottom w:val="none" w:sz="0" w:space="0" w:color="auto"/>
        <w:right w:val="none" w:sz="0" w:space="0" w:color="auto"/>
      </w:divBdr>
    </w:div>
    <w:div w:id="1572350277">
      <w:bodyDiv w:val="1"/>
      <w:marLeft w:val="0"/>
      <w:marRight w:val="0"/>
      <w:marTop w:val="0"/>
      <w:marBottom w:val="0"/>
      <w:divBdr>
        <w:top w:val="none" w:sz="0" w:space="0" w:color="auto"/>
        <w:left w:val="none" w:sz="0" w:space="0" w:color="auto"/>
        <w:bottom w:val="none" w:sz="0" w:space="0" w:color="auto"/>
        <w:right w:val="none" w:sz="0" w:space="0" w:color="auto"/>
      </w:divBdr>
    </w:div>
    <w:div w:id="1592353700">
      <w:bodyDiv w:val="1"/>
      <w:marLeft w:val="0"/>
      <w:marRight w:val="0"/>
      <w:marTop w:val="0"/>
      <w:marBottom w:val="0"/>
      <w:divBdr>
        <w:top w:val="none" w:sz="0" w:space="0" w:color="auto"/>
        <w:left w:val="none" w:sz="0" w:space="0" w:color="auto"/>
        <w:bottom w:val="none" w:sz="0" w:space="0" w:color="auto"/>
        <w:right w:val="none" w:sz="0" w:space="0" w:color="auto"/>
      </w:divBdr>
    </w:div>
    <w:div w:id="1619413588">
      <w:bodyDiv w:val="1"/>
      <w:marLeft w:val="0"/>
      <w:marRight w:val="0"/>
      <w:marTop w:val="0"/>
      <w:marBottom w:val="0"/>
      <w:divBdr>
        <w:top w:val="none" w:sz="0" w:space="0" w:color="auto"/>
        <w:left w:val="none" w:sz="0" w:space="0" w:color="auto"/>
        <w:bottom w:val="none" w:sz="0" w:space="0" w:color="auto"/>
        <w:right w:val="none" w:sz="0" w:space="0" w:color="auto"/>
      </w:divBdr>
    </w:div>
    <w:div w:id="1655260305">
      <w:bodyDiv w:val="1"/>
      <w:marLeft w:val="0"/>
      <w:marRight w:val="0"/>
      <w:marTop w:val="0"/>
      <w:marBottom w:val="0"/>
      <w:divBdr>
        <w:top w:val="none" w:sz="0" w:space="0" w:color="auto"/>
        <w:left w:val="none" w:sz="0" w:space="0" w:color="auto"/>
        <w:bottom w:val="none" w:sz="0" w:space="0" w:color="auto"/>
        <w:right w:val="none" w:sz="0" w:space="0" w:color="auto"/>
      </w:divBdr>
    </w:div>
    <w:div w:id="1687557172">
      <w:bodyDiv w:val="1"/>
      <w:marLeft w:val="0"/>
      <w:marRight w:val="0"/>
      <w:marTop w:val="0"/>
      <w:marBottom w:val="0"/>
      <w:divBdr>
        <w:top w:val="none" w:sz="0" w:space="0" w:color="auto"/>
        <w:left w:val="none" w:sz="0" w:space="0" w:color="auto"/>
        <w:bottom w:val="none" w:sz="0" w:space="0" w:color="auto"/>
        <w:right w:val="none" w:sz="0" w:space="0" w:color="auto"/>
      </w:divBdr>
    </w:div>
    <w:div w:id="1698117709">
      <w:bodyDiv w:val="1"/>
      <w:marLeft w:val="0"/>
      <w:marRight w:val="0"/>
      <w:marTop w:val="0"/>
      <w:marBottom w:val="0"/>
      <w:divBdr>
        <w:top w:val="none" w:sz="0" w:space="0" w:color="auto"/>
        <w:left w:val="none" w:sz="0" w:space="0" w:color="auto"/>
        <w:bottom w:val="none" w:sz="0" w:space="0" w:color="auto"/>
        <w:right w:val="none" w:sz="0" w:space="0" w:color="auto"/>
      </w:divBdr>
    </w:div>
    <w:div w:id="1703242801">
      <w:bodyDiv w:val="1"/>
      <w:marLeft w:val="0"/>
      <w:marRight w:val="0"/>
      <w:marTop w:val="0"/>
      <w:marBottom w:val="0"/>
      <w:divBdr>
        <w:top w:val="none" w:sz="0" w:space="0" w:color="auto"/>
        <w:left w:val="none" w:sz="0" w:space="0" w:color="auto"/>
        <w:bottom w:val="none" w:sz="0" w:space="0" w:color="auto"/>
        <w:right w:val="none" w:sz="0" w:space="0" w:color="auto"/>
      </w:divBdr>
    </w:div>
    <w:div w:id="1720011143">
      <w:bodyDiv w:val="1"/>
      <w:marLeft w:val="0"/>
      <w:marRight w:val="0"/>
      <w:marTop w:val="0"/>
      <w:marBottom w:val="0"/>
      <w:divBdr>
        <w:top w:val="none" w:sz="0" w:space="0" w:color="auto"/>
        <w:left w:val="none" w:sz="0" w:space="0" w:color="auto"/>
        <w:bottom w:val="none" w:sz="0" w:space="0" w:color="auto"/>
        <w:right w:val="none" w:sz="0" w:space="0" w:color="auto"/>
      </w:divBdr>
      <w:divsChild>
        <w:div w:id="233667402">
          <w:marLeft w:val="0"/>
          <w:marRight w:val="0"/>
          <w:marTop w:val="0"/>
          <w:marBottom w:val="0"/>
          <w:divBdr>
            <w:top w:val="none" w:sz="0" w:space="0" w:color="auto"/>
            <w:left w:val="none" w:sz="0" w:space="0" w:color="auto"/>
            <w:bottom w:val="none" w:sz="0" w:space="0" w:color="auto"/>
            <w:right w:val="none" w:sz="0" w:space="0" w:color="auto"/>
          </w:divBdr>
          <w:divsChild>
            <w:div w:id="1490098215">
              <w:marLeft w:val="0"/>
              <w:marRight w:val="0"/>
              <w:marTop w:val="0"/>
              <w:marBottom w:val="0"/>
              <w:divBdr>
                <w:top w:val="none" w:sz="0" w:space="0" w:color="auto"/>
                <w:left w:val="none" w:sz="0" w:space="0" w:color="auto"/>
                <w:bottom w:val="none" w:sz="0" w:space="0" w:color="auto"/>
                <w:right w:val="none" w:sz="0" w:space="0" w:color="auto"/>
              </w:divBdr>
              <w:divsChild>
                <w:div w:id="850218328">
                  <w:marLeft w:val="0"/>
                  <w:marRight w:val="0"/>
                  <w:marTop w:val="0"/>
                  <w:marBottom w:val="0"/>
                  <w:divBdr>
                    <w:top w:val="none" w:sz="0" w:space="0" w:color="auto"/>
                    <w:left w:val="none" w:sz="0" w:space="0" w:color="auto"/>
                    <w:bottom w:val="none" w:sz="0" w:space="0" w:color="auto"/>
                    <w:right w:val="none" w:sz="0" w:space="0" w:color="auto"/>
                  </w:divBdr>
                  <w:divsChild>
                    <w:div w:id="486170956">
                      <w:marLeft w:val="0"/>
                      <w:marRight w:val="0"/>
                      <w:marTop w:val="0"/>
                      <w:marBottom w:val="0"/>
                      <w:divBdr>
                        <w:top w:val="none" w:sz="0" w:space="0" w:color="auto"/>
                        <w:left w:val="none" w:sz="0" w:space="0" w:color="auto"/>
                        <w:bottom w:val="none" w:sz="0" w:space="0" w:color="auto"/>
                        <w:right w:val="none" w:sz="0" w:space="0" w:color="auto"/>
                      </w:divBdr>
                      <w:divsChild>
                        <w:div w:id="131946433">
                          <w:marLeft w:val="0"/>
                          <w:marRight w:val="0"/>
                          <w:marTop w:val="0"/>
                          <w:marBottom w:val="0"/>
                          <w:divBdr>
                            <w:top w:val="none" w:sz="0" w:space="0" w:color="auto"/>
                            <w:left w:val="none" w:sz="0" w:space="0" w:color="auto"/>
                            <w:bottom w:val="none" w:sz="0" w:space="0" w:color="auto"/>
                            <w:right w:val="none" w:sz="0" w:space="0" w:color="auto"/>
                          </w:divBdr>
                          <w:divsChild>
                            <w:div w:id="47418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927088">
      <w:bodyDiv w:val="1"/>
      <w:marLeft w:val="0"/>
      <w:marRight w:val="0"/>
      <w:marTop w:val="0"/>
      <w:marBottom w:val="0"/>
      <w:divBdr>
        <w:top w:val="none" w:sz="0" w:space="0" w:color="auto"/>
        <w:left w:val="none" w:sz="0" w:space="0" w:color="auto"/>
        <w:bottom w:val="none" w:sz="0" w:space="0" w:color="auto"/>
        <w:right w:val="none" w:sz="0" w:space="0" w:color="auto"/>
      </w:divBdr>
      <w:divsChild>
        <w:div w:id="144443359">
          <w:marLeft w:val="0"/>
          <w:marRight w:val="0"/>
          <w:marTop w:val="0"/>
          <w:marBottom w:val="0"/>
          <w:divBdr>
            <w:top w:val="none" w:sz="0" w:space="0" w:color="auto"/>
            <w:left w:val="none" w:sz="0" w:space="0" w:color="auto"/>
            <w:bottom w:val="none" w:sz="0" w:space="0" w:color="auto"/>
            <w:right w:val="none" w:sz="0" w:space="0" w:color="auto"/>
          </w:divBdr>
          <w:divsChild>
            <w:div w:id="1788233520">
              <w:marLeft w:val="0"/>
              <w:marRight w:val="0"/>
              <w:marTop w:val="0"/>
              <w:marBottom w:val="0"/>
              <w:divBdr>
                <w:top w:val="none" w:sz="0" w:space="0" w:color="auto"/>
                <w:left w:val="none" w:sz="0" w:space="0" w:color="auto"/>
                <w:bottom w:val="none" w:sz="0" w:space="0" w:color="auto"/>
                <w:right w:val="none" w:sz="0" w:space="0" w:color="auto"/>
              </w:divBdr>
              <w:divsChild>
                <w:div w:id="1593778871">
                  <w:marLeft w:val="0"/>
                  <w:marRight w:val="0"/>
                  <w:marTop w:val="0"/>
                  <w:marBottom w:val="0"/>
                  <w:divBdr>
                    <w:top w:val="none" w:sz="0" w:space="0" w:color="auto"/>
                    <w:left w:val="none" w:sz="0" w:space="0" w:color="auto"/>
                    <w:bottom w:val="none" w:sz="0" w:space="0" w:color="auto"/>
                    <w:right w:val="none" w:sz="0" w:space="0" w:color="auto"/>
                  </w:divBdr>
                  <w:divsChild>
                    <w:div w:id="723455566">
                      <w:marLeft w:val="0"/>
                      <w:marRight w:val="0"/>
                      <w:marTop w:val="0"/>
                      <w:marBottom w:val="0"/>
                      <w:divBdr>
                        <w:top w:val="none" w:sz="0" w:space="0" w:color="auto"/>
                        <w:left w:val="none" w:sz="0" w:space="0" w:color="auto"/>
                        <w:bottom w:val="none" w:sz="0" w:space="0" w:color="auto"/>
                        <w:right w:val="none" w:sz="0" w:space="0" w:color="auto"/>
                      </w:divBdr>
                      <w:divsChild>
                        <w:div w:id="2069651127">
                          <w:marLeft w:val="0"/>
                          <w:marRight w:val="0"/>
                          <w:marTop w:val="0"/>
                          <w:marBottom w:val="0"/>
                          <w:divBdr>
                            <w:top w:val="none" w:sz="0" w:space="0" w:color="auto"/>
                            <w:left w:val="none" w:sz="0" w:space="0" w:color="auto"/>
                            <w:bottom w:val="none" w:sz="0" w:space="0" w:color="auto"/>
                            <w:right w:val="none" w:sz="0" w:space="0" w:color="auto"/>
                          </w:divBdr>
                          <w:divsChild>
                            <w:div w:id="1373118886">
                              <w:marLeft w:val="0"/>
                              <w:marRight w:val="0"/>
                              <w:marTop w:val="0"/>
                              <w:marBottom w:val="0"/>
                              <w:divBdr>
                                <w:top w:val="none" w:sz="0" w:space="0" w:color="auto"/>
                                <w:left w:val="none" w:sz="0" w:space="0" w:color="auto"/>
                                <w:bottom w:val="none" w:sz="0" w:space="0" w:color="auto"/>
                                <w:right w:val="none" w:sz="0" w:space="0" w:color="auto"/>
                              </w:divBdr>
                              <w:divsChild>
                                <w:div w:id="1429229676">
                                  <w:marLeft w:val="0"/>
                                  <w:marRight w:val="0"/>
                                  <w:marTop w:val="0"/>
                                  <w:marBottom w:val="0"/>
                                  <w:divBdr>
                                    <w:top w:val="none" w:sz="0" w:space="0" w:color="auto"/>
                                    <w:left w:val="none" w:sz="0" w:space="0" w:color="auto"/>
                                    <w:bottom w:val="none" w:sz="0" w:space="0" w:color="auto"/>
                                    <w:right w:val="none" w:sz="0" w:space="0" w:color="auto"/>
                                  </w:divBdr>
                                  <w:divsChild>
                                    <w:div w:id="207835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8088370">
          <w:marLeft w:val="0"/>
          <w:marRight w:val="0"/>
          <w:marTop w:val="0"/>
          <w:marBottom w:val="0"/>
          <w:divBdr>
            <w:top w:val="none" w:sz="0" w:space="0" w:color="auto"/>
            <w:left w:val="none" w:sz="0" w:space="0" w:color="auto"/>
            <w:bottom w:val="none" w:sz="0" w:space="0" w:color="auto"/>
            <w:right w:val="none" w:sz="0" w:space="0" w:color="auto"/>
          </w:divBdr>
          <w:divsChild>
            <w:div w:id="1575774437">
              <w:marLeft w:val="0"/>
              <w:marRight w:val="0"/>
              <w:marTop w:val="0"/>
              <w:marBottom w:val="0"/>
              <w:divBdr>
                <w:top w:val="none" w:sz="0" w:space="0" w:color="auto"/>
                <w:left w:val="none" w:sz="0" w:space="0" w:color="auto"/>
                <w:bottom w:val="none" w:sz="0" w:space="0" w:color="auto"/>
                <w:right w:val="none" w:sz="0" w:space="0" w:color="auto"/>
              </w:divBdr>
              <w:divsChild>
                <w:div w:id="1676877158">
                  <w:marLeft w:val="0"/>
                  <w:marRight w:val="0"/>
                  <w:marTop w:val="0"/>
                  <w:marBottom w:val="0"/>
                  <w:divBdr>
                    <w:top w:val="none" w:sz="0" w:space="0" w:color="auto"/>
                    <w:left w:val="none" w:sz="0" w:space="0" w:color="auto"/>
                    <w:bottom w:val="none" w:sz="0" w:space="0" w:color="auto"/>
                    <w:right w:val="none" w:sz="0" w:space="0" w:color="auto"/>
                  </w:divBdr>
                  <w:divsChild>
                    <w:div w:id="1208227597">
                      <w:marLeft w:val="0"/>
                      <w:marRight w:val="0"/>
                      <w:marTop w:val="0"/>
                      <w:marBottom w:val="0"/>
                      <w:divBdr>
                        <w:top w:val="none" w:sz="0" w:space="0" w:color="auto"/>
                        <w:left w:val="none" w:sz="0" w:space="0" w:color="auto"/>
                        <w:bottom w:val="none" w:sz="0" w:space="0" w:color="auto"/>
                        <w:right w:val="none" w:sz="0" w:space="0" w:color="auto"/>
                      </w:divBdr>
                      <w:divsChild>
                        <w:div w:id="1503618667">
                          <w:marLeft w:val="0"/>
                          <w:marRight w:val="0"/>
                          <w:marTop w:val="0"/>
                          <w:marBottom w:val="0"/>
                          <w:divBdr>
                            <w:top w:val="none" w:sz="0" w:space="0" w:color="auto"/>
                            <w:left w:val="none" w:sz="0" w:space="0" w:color="auto"/>
                            <w:bottom w:val="none" w:sz="0" w:space="0" w:color="auto"/>
                            <w:right w:val="none" w:sz="0" w:space="0" w:color="auto"/>
                          </w:divBdr>
                          <w:divsChild>
                            <w:div w:id="1416130403">
                              <w:marLeft w:val="0"/>
                              <w:marRight w:val="0"/>
                              <w:marTop w:val="0"/>
                              <w:marBottom w:val="0"/>
                              <w:divBdr>
                                <w:top w:val="none" w:sz="0" w:space="0" w:color="auto"/>
                                <w:left w:val="none" w:sz="0" w:space="0" w:color="auto"/>
                                <w:bottom w:val="none" w:sz="0" w:space="0" w:color="auto"/>
                                <w:right w:val="none" w:sz="0" w:space="0" w:color="auto"/>
                              </w:divBdr>
                              <w:divsChild>
                                <w:div w:id="562102337">
                                  <w:marLeft w:val="0"/>
                                  <w:marRight w:val="0"/>
                                  <w:marTop w:val="0"/>
                                  <w:marBottom w:val="0"/>
                                  <w:divBdr>
                                    <w:top w:val="none" w:sz="0" w:space="0" w:color="auto"/>
                                    <w:left w:val="none" w:sz="0" w:space="0" w:color="auto"/>
                                    <w:bottom w:val="none" w:sz="0" w:space="0" w:color="auto"/>
                                    <w:right w:val="none" w:sz="0" w:space="0" w:color="auto"/>
                                  </w:divBdr>
                                  <w:divsChild>
                                    <w:div w:id="1944536904">
                                      <w:marLeft w:val="0"/>
                                      <w:marRight w:val="0"/>
                                      <w:marTop w:val="0"/>
                                      <w:marBottom w:val="0"/>
                                      <w:divBdr>
                                        <w:top w:val="none" w:sz="0" w:space="0" w:color="auto"/>
                                        <w:left w:val="none" w:sz="0" w:space="0" w:color="auto"/>
                                        <w:bottom w:val="none" w:sz="0" w:space="0" w:color="auto"/>
                                        <w:right w:val="none" w:sz="0" w:space="0" w:color="auto"/>
                                      </w:divBdr>
                                      <w:divsChild>
                                        <w:div w:id="1536846908">
                                          <w:marLeft w:val="0"/>
                                          <w:marRight w:val="0"/>
                                          <w:marTop w:val="0"/>
                                          <w:marBottom w:val="0"/>
                                          <w:divBdr>
                                            <w:top w:val="none" w:sz="0" w:space="0" w:color="auto"/>
                                            <w:left w:val="none" w:sz="0" w:space="0" w:color="auto"/>
                                            <w:bottom w:val="none" w:sz="0" w:space="0" w:color="auto"/>
                                            <w:right w:val="none" w:sz="0" w:space="0" w:color="auto"/>
                                          </w:divBdr>
                                          <w:divsChild>
                                            <w:div w:id="374044626">
                                              <w:marLeft w:val="0"/>
                                              <w:marRight w:val="0"/>
                                              <w:marTop w:val="0"/>
                                              <w:marBottom w:val="0"/>
                                              <w:divBdr>
                                                <w:top w:val="none" w:sz="0" w:space="0" w:color="auto"/>
                                                <w:left w:val="none" w:sz="0" w:space="0" w:color="auto"/>
                                                <w:bottom w:val="none" w:sz="0" w:space="0" w:color="auto"/>
                                                <w:right w:val="none" w:sz="0" w:space="0" w:color="auto"/>
                                              </w:divBdr>
                                              <w:divsChild>
                                                <w:div w:id="517013601">
                                                  <w:marLeft w:val="0"/>
                                                  <w:marRight w:val="0"/>
                                                  <w:marTop w:val="0"/>
                                                  <w:marBottom w:val="0"/>
                                                  <w:divBdr>
                                                    <w:top w:val="none" w:sz="0" w:space="0" w:color="auto"/>
                                                    <w:left w:val="none" w:sz="0" w:space="0" w:color="auto"/>
                                                    <w:bottom w:val="none" w:sz="0" w:space="0" w:color="auto"/>
                                                    <w:right w:val="none" w:sz="0" w:space="0" w:color="auto"/>
                                                  </w:divBdr>
                                                  <w:divsChild>
                                                    <w:div w:id="32015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8361089">
      <w:bodyDiv w:val="1"/>
      <w:marLeft w:val="0"/>
      <w:marRight w:val="0"/>
      <w:marTop w:val="0"/>
      <w:marBottom w:val="0"/>
      <w:divBdr>
        <w:top w:val="none" w:sz="0" w:space="0" w:color="auto"/>
        <w:left w:val="none" w:sz="0" w:space="0" w:color="auto"/>
        <w:bottom w:val="none" w:sz="0" w:space="0" w:color="auto"/>
        <w:right w:val="none" w:sz="0" w:space="0" w:color="auto"/>
      </w:divBdr>
    </w:div>
    <w:div w:id="1739815359">
      <w:bodyDiv w:val="1"/>
      <w:marLeft w:val="0"/>
      <w:marRight w:val="0"/>
      <w:marTop w:val="0"/>
      <w:marBottom w:val="0"/>
      <w:divBdr>
        <w:top w:val="none" w:sz="0" w:space="0" w:color="auto"/>
        <w:left w:val="none" w:sz="0" w:space="0" w:color="auto"/>
        <w:bottom w:val="none" w:sz="0" w:space="0" w:color="auto"/>
        <w:right w:val="none" w:sz="0" w:space="0" w:color="auto"/>
      </w:divBdr>
    </w:div>
    <w:div w:id="1757826530">
      <w:bodyDiv w:val="1"/>
      <w:marLeft w:val="0"/>
      <w:marRight w:val="0"/>
      <w:marTop w:val="0"/>
      <w:marBottom w:val="0"/>
      <w:divBdr>
        <w:top w:val="none" w:sz="0" w:space="0" w:color="auto"/>
        <w:left w:val="none" w:sz="0" w:space="0" w:color="auto"/>
        <w:bottom w:val="none" w:sz="0" w:space="0" w:color="auto"/>
        <w:right w:val="none" w:sz="0" w:space="0" w:color="auto"/>
      </w:divBdr>
    </w:div>
    <w:div w:id="1777212049">
      <w:bodyDiv w:val="1"/>
      <w:marLeft w:val="0"/>
      <w:marRight w:val="0"/>
      <w:marTop w:val="0"/>
      <w:marBottom w:val="0"/>
      <w:divBdr>
        <w:top w:val="none" w:sz="0" w:space="0" w:color="auto"/>
        <w:left w:val="none" w:sz="0" w:space="0" w:color="auto"/>
        <w:bottom w:val="none" w:sz="0" w:space="0" w:color="auto"/>
        <w:right w:val="none" w:sz="0" w:space="0" w:color="auto"/>
      </w:divBdr>
    </w:div>
    <w:div w:id="1778520623">
      <w:bodyDiv w:val="1"/>
      <w:marLeft w:val="0"/>
      <w:marRight w:val="0"/>
      <w:marTop w:val="0"/>
      <w:marBottom w:val="0"/>
      <w:divBdr>
        <w:top w:val="none" w:sz="0" w:space="0" w:color="auto"/>
        <w:left w:val="none" w:sz="0" w:space="0" w:color="auto"/>
        <w:bottom w:val="none" w:sz="0" w:space="0" w:color="auto"/>
        <w:right w:val="none" w:sz="0" w:space="0" w:color="auto"/>
      </w:divBdr>
    </w:div>
    <w:div w:id="1812282802">
      <w:bodyDiv w:val="1"/>
      <w:marLeft w:val="0"/>
      <w:marRight w:val="0"/>
      <w:marTop w:val="0"/>
      <w:marBottom w:val="0"/>
      <w:divBdr>
        <w:top w:val="none" w:sz="0" w:space="0" w:color="auto"/>
        <w:left w:val="none" w:sz="0" w:space="0" w:color="auto"/>
        <w:bottom w:val="none" w:sz="0" w:space="0" w:color="auto"/>
        <w:right w:val="none" w:sz="0" w:space="0" w:color="auto"/>
      </w:divBdr>
    </w:div>
    <w:div w:id="1825507785">
      <w:bodyDiv w:val="1"/>
      <w:marLeft w:val="0"/>
      <w:marRight w:val="0"/>
      <w:marTop w:val="0"/>
      <w:marBottom w:val="0"/>
      <w:divBdr>
        <w:top w:val="none" w:sz="0" w:space="0" w:color="auto"/>
        <w:left w:val="none" w:sz="0" w:space="0" w:color="auto"/>
        <w:bottom w:val="none" w:sz="0" w:space="0" w:color="auto"/>
        <w:right w:val="none" w:sz="0" w:space="0" w:color="auto"/>
      </w:divBdr>
    </w:div>
    <w:div w:id="1831210853">
      <w:bodyDiv w:val="1"/>
      <w:marLeft w:val="0"/>
      <w:marRight w:val="0"/>
      <w:marTop w:val="0"/>
      <w:marBottom w:val="0"/>
      <w:divBdr>
        <w:top w:val="none" w:sz="0" w:space="0" w:color="auto"/>
        <w:left w:val="none" w:sz="0" w:space="0" w:color="auto"/>
        <w:bottom w:val="none" w:sz="0" w:space="0" w:color="auto"/>
        <w:right w:val="none" w:sz="0" w:space="0" w:color="auto"/>
      </w:divBdr>
      <w:divsChild>
        <w:div w:id="1928075926">
          <w:marLeft w:val="0"/>
          <w:marRight w:val="0"/>
          <w:marTop w:val="0"/>
          <w:marBottom w:val="0"/>
          <w:divBdr>
            <w:top w:val="none" w:sz="0" w:space="0" w:color="auto"/>
            <w:left w:val="none" w:sz="0" w:space="0" w:color="auto"/>
            <w:bottom w:val="none" w:sz="0" w:space="0" w:color="auto"/>
            <w:right w:val="none" w:sz="0" w:space="0" w:color="auto"/>
          </w:divBdr>
          <w:divsChild>
            <w:div w:id="2053379613">
              <w:marLeft w:val="0"/>
              <w:marRight w:val="0"/>
              <w:marTop w:val="0"/>
              <w:marBottom w:val="0"/>
              <w:divBdr>
                <w:top w:val="none" w:sz="0" w:space="0" w:color="auto"/>
                <w:left w:val="none" w:sz="0" w:space="0" w:color="auto"/>
                <w:bottom w:val="none" w:sz="0" w:space="0" w:color="auto"/>
                <w:right w:val="none" w:sz="0" w:space="0" w:color="auto"/>
              </w:divBdr>
              <w:divsChild>
                <w:div w:id="85619500">
                  <w:marLeft w:val="0"/>
                  <w:marRight w:val="0"/>
                  <w:marTop w:val="0"/>
                  <w:marBottom w:val="0"/>
                  <w:divBdr>
                    <w:top w:val="none" w:sz="0" w:space="0" w:color="auto"/>
                    <w:left w:val="none" w:sz="0" w:space="0" w:color="auto"/>
                    <w:bottom w:val="none" w:sz="0" w:space="0" w:color="auto"/>
                    <w:right w:val="none" w:sz="0" w:space="0" w:color="auto"/>
                  </w:divBdr>
                  <w:divsChild>
                    <w:div w:id="747769714">
                      <w:marLeft w:val="0"/>
                      <w:marRight w:val="0"/>
                      <w:marTop w:val="0"/>
                      <w:marBottom w:val="0"/>
                      <w:divBdr>
                        <w:top w:val="none" w:sz="0" w:space="0" w:color="auto"/>
                        <w:left w:val="none" w:sz="0" w:space="0" w:color="auto"/>
                        <w:bottom w:val="none" w:sz="0" w:space="0" w:color="auto"/>
                        <w:right w:val="none" w:sz="0" w:space="0" w:color="auto"/>
                      </w:divBdr>
                      <w:divsChild>
                        <w:div w:id="638413352">
                          <w:marLeft w:val="0"/>
                          <w:marRight w:val="0"/>
                          <w:marTop w:val="0"/>
                          <w:marBottom w:val="0"/>
                          <w:divBdr>
                            <w:top w:val="none" w:sz="0" w:space="0" w:color="auto"/>
                            <w:left w:val="none" w:sz="0" w:space="0" w:color="auto"/>
                            <w:bottom w:val="none" w:sz="0" w:space="0" w:color="auto"/>
                            <w:right w:val="none" w:sz="0" w:space="0" w:color="auto"/>
                          </w:divBdr>
                          <w:divsChild>
                            <w:div w:id="112357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2520206">
      <w:bodyDiv w:val="1"/>
      <w:marLeft w:val="0"/>
      <w:marRight w:val="0"/>
      <w:marTop w:val="0"/>
      <w:marBottom w:val="0"/>
      <w:divBdr>
        <w:top w:val="none" w:sz="0" w:space="0" w:color="auto"/>
        <w:left w:val="none" w:sz="0" w:space="0" w:color="auto"/>
        <w:bottom w:val="none" w:sz="0" w:space="0" w:color="auto"/>
        <w:right w:val="none" w:sz="0" w:space="0" w:color="auto"/>
      </w:divBdr>
    </w:div>
    <w:div w:id="1837921704">
      <w:bodyDiv w:val="1"/>
      <w:marLeft w:val="0"/>
      <w:marRight w:val="0"/>
      <w:marTop w:val="0"/>
      <w:marBottom w:val="0"/>
      <w:divBdr>
        <w:top w:val="none" w:sz="0" w:space="0" w:color="auto"/>
        <w:left w:val="none" w:sz="0" w:space="0" w:color="auto"/>
        <w:bottom w:val="none" w:sz="0" w:space="0" w:color="auto"/>
        <w:right w:val="none" w:sz="0" w:space="0" w:color="auto"/>
      </w:divBdr>
    </w:div>
    <w:div w:id="1842042979">
      <w:bodyDiv w:val="1"/>
      <w:marLeft w:val="0"/>
      <w:marRight w:val="0"/>
      <w:marTop w:val="0"/>
      <w:marBottom w:val="0"/>
      <w:divBdr>
        <w:top w:val="none" w:sz="0" w:space="0" w:color="auto"/>
        <w:left w:val="none" w:sz="0" w:space="0" w:color="auto"/>
        <w:bottom w:val="none" w:sz="0" w:space="0" w:color="auto"/>
        <w:right w:val="none" w:sz="0" w:space="0" w:color="auto"/>
      </w:divBdr>
    </w:div>
    <w:div w:id="1851486084">
      <w:bodyDiv w:val="1"/>
      <w:marLeft w:val="0"/>
      <w:marRight w:val="0"/>
      <w:marTop w:val="0"/>
      <w:marBottom w:val="0"/>
      <w:divBdr>
        <w:top w:val="none" w:sz="0" w:space="0" w:color="auto"/>
        <w:left w:val="none" w:sz="0" w:space="0" w:color="auto"/>
        <w:bottom w:val="none" w:sz="0" w:space="0" w:color="auto"/>
        <w:right w:val="none" w:sz="0" w:space="0" w:color="auto"/>
      </w:divBdr>
    </w:div>
    <w:div w:id="1858230227">
      <w:bodyDiv w:val="1"/>
      <w:marLeft w:val="0"/>
      <w:marRight w:val="0"/>
      <w:marTop w:val="0"/>
      <w:marBottom w:val="0"/>
      <w:divBdr>
        <w:top w:val="none" w:sz="0" w:space="0" w:color="auto"/>
        <w:left w:val="none" w:sz="0" w:space="0" w:color="auto"/>
        <w:bottom w:val="none" w:sz="0" w:space="0" w:color="auto"/>
        <w:right w:val="none" w:sz="0" w:space="0" w:color="auto"/>
      </w:divBdr>
    </w:div>
    <w:div w:id="1868981347">
      <w:bodyDiv w:val="1"/>
      <w:marLeft w:val="0"/>
      <w:marRight w:val="0"/>
      <w:marTop w:val="0"/>
      <w:marBottom w:val="0"/>
      <w:divBdr>
        <w:top w:val="none" w:sz="0" w:space="0" w:color="auto"/>
        <w:left w:val="none" w:sz="0" w:space="0" w:color="auto"/>
        <w:bottom w:val="none" w:sz="0" w:space="0" w:color="auto"/>
        <w:right w:val="none" w:sz="0" w:space="0" w:color="auto"/>
      </w:divBdr>
    </w:div>
    <w:div w:id="1881821959">
      <w:bodyDiv w:val="1"/>
      <w:marLeft w:val="0"/>
      <w:marRight w:val="0"/>
      <w:marTop w:val="0"/>
      <w:marBottom w:val="0"/>
      <w:divBdr>
        <w:top w:val="none" w:sz="0" w:space="0" w:color="auto"/>
        <w:left w:val="none" w:sz="0" w:space="0" w:color="auto"/>
        <w:bottom w:val="none" w:sz="0" w:space="0" w:color="auto"/>
        <w:right w:val="none" w:sz="0" w:space="0" w:color="auto"/>
      </w:divBdr>
    </w:div>
    <w:div w:id="1900827316">
      <w:bodyDiv w:val="1"/>
      <w:marLeft w:val="0"/>
      <w:marRight w:val="0"/>
      <w:marTop w:val="0"/>
      <w:marBottom w:val="0"/>
      <w:divBdr>
        <w:top w:val="none" w:sz="0" w:space="0" w:color="auto"/>
        <w:left w:val="none" w:sz="0" w:space="0" w:color="auto"/>
        <w:bottom w:val="none" w:sz="0" w:space="0" w:color="auto"/>
        <w:right w:val="none" w:sz="0" w:space="0" w:color="auto"/>
      </w:divBdr>
    </w:div>
    <w:div w:id="1914008204">
      <w:bodyDiv w:val="1"/>
      <w:marLeft w:val="0"/>
      <w:marRight w:val="0"/>
      <w:marTop w:val="0"/>
      <w:marBottom w:val="0"/>
      <w:divBdr>
        <w:top w:val="none" w:sz="0" w:space="0" w:color="auto"/>
        <w:left w:val="none" w:sz="0" w:space="0" w:color="auto"/>
        <w:bottom w:val="none" w:sz="0" w:space="0" w:color="auto"/>
        <w:right w:val="none" w:sz="0" w:space="0" w:color="auto"/>
      </w:divBdr>
    </w:div>
    <w:div w:id="1916086223">
      <w:bodyDiv w:val="1"/>
      <w:marLeft w:val="0"/>
      <w:marRight w:val="0"/>
      <w:marTop w:val="0"/>
      <w:marBottom w:val="0"/>
      <w:divBdr>
        <w:top w:val="none" w:sz="0" w:space="0" w:color="auto"/>
        <w:left w:val="none" w:sz="0" w:space="0" w:color="auto"/>
        <w:bottom w:val="none" w:sz="0" w:space="0" w:color="auto"/>
        <w:right w:val="none" w:sz="0" w:space="0" w:color="auto"/>
      </w:divBdr>
    </w:div>
    <w:div w:id="1924025236">
      <w:bodyDiv w:val="1"/>
      <w:marLeft w:val="0"/>
      <w:marRight w:val="0"/>
      <w:marTop w:val="0"/>
      <w:marBottom w:val="0"/>
      <w:divBdr>
        <w:top w:val="none" w:sz="0" w:space="0" w:color="auto"/>
        <w:left w:val="none" w:sz="0" w:space="0" w:color="auto"/>
        <w:bottom w:val="none" w:sz="0" w:space="0" w:color="auto"/>
        <w:right w:val="none" w:sz="0" w:space="0" w:color="auto"/>
      </w:divBdr>
    </w:div>
    <w:div w:id="2065786558">
      <w:bodyDiv w:val="1"/>
      <w:marLeft w:val="0"/>
      <w:marRight w:val="0"/>
      <w:marTop w:val="0"/>
      <w:marBottom w:val="0"/>
      <w:divBdr>
        <w:top w:val="none" w:sz="0" w:space="0" w:color="auto"/>
        <w:left w:val="none" w:sz="0" w:space="0" w:color="auto"/>
        <w:bottom w:val="none" w:sz="0" w:space="0" w:color="auto"/>
        <w:right w:val="none" w:sz="0" w:space="0" w:color="auto"/>
      </w:divBdr>
    </w:div>
    <w:div w:id="2070808028">
      <w:bodyDiv w:val="1"/>
      <w:marLeft w:val="0"/>
      <w:marRight w:val="0"/>
      <w:marTop w:val="0"/>
      <w:marBottom w:val="0"/>
      <w:divBdr>
        <w:top w:val="none" w:sz="0" w:space="0" w:color="auto"/>
        <w:left w:val="none" w:sz="0" w:space="0" w:color="auto"/>
        <w:bottom w:val="none" w:sz="0" w:space="0" w:color="auto"/>
        <w:right w:val="none" w:sz="0" w:space="0" w:color="auto"/>
      </w:divBdr>
    </w:div>
    <w:div w:id="2072341542">
      <w:bodyDiv w:val="1"/>
      <w:marLeft w:val="0"/>
      <w:marRight w:val="0"/>
      <w:marTop w:val="0"/>
      <w:marBottom w:val="0"/>
      <w:divBdr>
        <w:top w:val="none" w:sz="0" w:space="0" w:color="auto"/>
        <w:left w:val="none" w:sz="0" w:space="0" w:color="auto"/>
        <w:bottom w:val="none" w:sz="0" w:space="0" w:color="auto"/>
        <w:right w:val="none" w:sz="0" w:space="0" w:color="auto"/>
      </w:divBdr>
    </w:div>
    <w:div w:id="2092578841">
      <w:bodyDiv w:val="1"/>
      <w:marLeft w:val="0"/>
      <w:marRight w:val="0"/>
      <w:marTop w:val="0"/>
      <w:marBottom w:val="0"/>
      <w:divBdr>
        <w:top w:val="none" w:sz="0" w:space="0" w:color="auto"/>
        <w:left w:val="none" w:sz="0" w:space="0" w:color="auto"/>
        <w:bottom w:val="none" w:sz="0" w:space="0" w:color="auto"/>
        <w:right w:val="none" w:sz="0" w:space="0" w:color="auto"/>
      </w:divBdr>
    </w:div>
    <w:div w:id="2106263868">
      <w:bodyDiv w:val="1"/>
      <w:marLeft w:val="0"/>
      <w:marRight w:val="0"/>
      <w:marTop w:val="0"/>
      <w:marBottom w:val="0"/>
      <w:divBdr>
        <w:top w:val="none" w:sz="0" w:space="0" w:color="auto"/>
        <w:left w:val="none" w:sz="0" w:space="0" w:color="auto"/>
        <w:bottom w:val="none" w:sz="0" w:space="0" w:color="auto"/>
        <w:right w:val="none" w:sz="0" w:space="0" w:color="auto"/>
      </w:divBdr>
    </w:div>
    <w:div w:id="2125884620">
      <w:bodyDiv w:val="1"/>
      <w:marLeft w:val="0"/>
      <w:marRight w:val="0"/>
      <w:marTop w:val="0"/>
      <w:marBottom w:val="0"/>
      <w:divBdr>
        <w:top w:val="none" w:sz="0" w:space="0" w:color="auto"/>
        <w:left w:val="none" w:sz="0" w:space="0" w:color="auto"/>
        <w:bottom w:val="none" w:sz="0" w:space="0" w:color="auto"/>
        <w:right w:val="none" w:sz="0" w:space="0" w:color="auto"/>
      </w:divBdr>
      <w:divsChild>
        <w:div w:id="320736016">
          <w:marLeft w:val="0"/>
          <w:marRight w:val="0"/>
          <w:marTop w:val="0"/>
          <w:marBottom w:val="0"/>
          <w:divBdr>
            <w:top w:val="none" w:sz="0" w:space="0" w:color="auto"/>
            <w:left w:val="none" w:sz="0" w:space="0" w:color="auto"/>
            <w:bottom w:val="none" w:sz="0" w:space="0" w:color="auto"/>
            <w:right w:val="none" w:sz="0" w:space="0" w:color="auto"/>
          </w:divBdr>
        </w:div>
        <w:div w:id="1152137667">
          <w:marLeft w:val="0"/>
          <w:marRight w:val="0"/>
          <w:marTop w:val="0"/>
          <w:marBottom w:val="0"/>
          <w:divBdr>
            <w:top w:val="none" w:sz="0" w:space="0" w:color="auto"/>
            <w:left w:val="none" w:sz="0" w:space="0" w:color="auto"/>
            <w:bottom w:val="none" w:sz="0" w:space="0" w:color="auto"/>
            <w:right w:val="none" w:sz="0" w:space="0" w:color="auto"/>
          </w:divBdr>
        </w:div>
      </w:divsChild>
    </w:div>
    <w:div w:id="2131120093">
      <w:bodyDiv w:val="1"/>
      <w:marLeft w:val="0"/>
      <w:marRight w:val="0"/>
      <w:marTop w:val="0"/>
      <w:marBottom w:val="0"/>
      <w:divBdr>
        <w:top w:val="none" w:sz="0" w:space="0" w:color="auto"/>
        <w:left w:val="none" w:sz="0" w:space="0" w:color="auto"/>
        <w:bottom w:val="none" w:sz="0" w:space="0" w:color="auto"/>
        <w:right w:val="none" w:sz="0" w:space="0" w:color="auto"/>
      </w:divBdr>
    </w:div>
    <w:div w:id="213918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eli/dir/2020/284/oj" TargetMode="External"/><Relationship Id="rId13" Type="http://schemas.openxmlformats.org/officeDocument/2006/relationships/hyperlink" Target="https://eur-lex.europa.eu/legal-content/EN/TXT/?uri=CELEX:32020L028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lex.europa.eu/legal-content/EN/TXT/?uri=CELEX:32020L028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eli/dir/2020/284/oj"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ur-lex.europa.eu/eli/dir/2020/284/oj" TargetMode="External"/><Relationship Id="rId4" Type="http://schemas.openxmlformats.org/officeDocument/2006/relationships/settings" Target="settings.xml"/><Relationship Id="rId9" Type="http://schemas.openxmlformats.org/officeDocument/2006/relationships/hyperlink" Target="https://eur-lex.europa.eu/eli/dir/2020/284/oj"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1DE87-AB43-4DE7-98A2-A079F3F4865D}">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56</TotalTime>
  <Pages>18</Pages>
  <Words>5967</Words>
  <Characters>34014</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WBG</Company>
  <LinksUpToDate>false</LinksUpToDate>
  <CharactersWithSpaces>39902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Platon</dc:creator>
  <cp:keywords/>
  <dc:description/>
  <cp:lastModifiedBy>Hatixhe Demaj</cp:lastModifiedBy>
  <cp:revision>10</cp:revision>
  <cp:lastPrinted>2025-12-13T13:46:00Z</cp:lastPrinted>
  <dcterms:created xsi:type="dcterms:W3CDTF">2026-05-29T11:58:00Z</dcterms:created>
  <dcterms:modified xsi:type="dcterms:W3CDTF">2026-07-10T09:38:00Z</dcterms:modified>
</cp:coreProperties>
</file>