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2DC0" w14:textId="77777777" w:rsidR="00BA2BB4" w:rsidRPr="006251A3" w:rsidRDefault="00BA2BB4" w:rsidP="00FC2EB6">
      <w:pPr>
        <w:jc w:val="center"/>
        <w:rPr>
          <w:rFonts w:ascii="Times New Roman" w:hAnsi="Times New Roman"/>
          <w:b/>
          <w:sz w:val="28"/>
          <w:szCs w:val="28"/>
          <w:lang w:val="it-CH"/>
        </w:rPr>
      </w:pPr>
      <w:r w:rsidRPr="006251A3">
        <w:rPr>
          <w:rFonts w:ascii="Times New Roman" w:hAnsi="Times New Roman"/>
          <w:b/>
          <w:sz w:val="28"/>
          <w:szCs w:val="28"/>
          <w:lang w:val="it-CH"/>
        </w:rPr>
        <w:t>R E L A C I O N</w:t>
      </w:r>
    </w:p>
    <w:p w14:paraId="6BE9D4FF" w14:textId="5DA584E0" w:rsidR="00336E00" w:rsidRPr="006251A3" w:rsidRDefault="001E4164" w:rsidP="00FC2EB6">
      <w:pPr>
        <w:jc w:val="center"/>
        <w:rPr>
          <w:rFonts w:ascii="Times New Roman" w:hAnsi="Times New Roman"/>
          <w:b/>
          <w:sz w:val="28"/>
          <w:szCs w:val="28"/>
          <w:lang w:val="it-CH"/>
        </w:rPr>
      </w:pPr>
      <w:r w:rsidRPr="006251A3">
        <w:rPr>
          <w:rFonts w:ascii="Times New Roman" w:hAnsi="Times New Roman"/>
          <w:b/>
          <w:sz w:val="28"/>
          <w:szCs w:val="28"/>
          <w:lang w:val="it-CH"/>
        </w:rPr>
        <w:t>PËR</w:t>
      </w:r>
    </w:p>
    <w:p w14:paraId="049D27F6" w14:textId="31E7776B" w:rsidR="00336E00" w:rsidRPr="006251A3" w:rsidRDefault="001E4164" w:rsidP="00FC2EB6">
      <w:pPr>
        <w:jc w:val="center"/>
        <w:rPr>
          <w:rFonts w:ascii="Times New Roman" w:hAnsi="Times New Roman"/>
          <w:b/>
          <w:sz w:val="28"/>
          <w:szCs w:val="28"/>
          <w:lang w:val="it-CH"/>
        </w:rPr>
      </w:pPr>
      <w:r w:rsidRPr="006251A3">
        <w:rPr>
          <w:rFonts w:ascii="Times New Roman" w:hAnsi="Times New Roman"/>
          <w:b/>
          <w:sz w:val="28"/>
          <w:szCs w:val="28"/>
          <w:lang w:val="it-CH"/>
        </w:rPr>
        <w:t>PROJEKTLIGJIN</w:t>
      </w:r>
    </w:p>
    <w:p w14:paraId="51ABC488" w14:textId="77777777" w:rsidR="007F09B1" w:rsidRPr="007F09B1" w:rsidRDefault="00262124" w:rsidP="00FC2EB6">
      <w:pPr>
        <w:jc w:val="center"/>
        <w:rPr>
          <w:rFonts w:ascii="Times New Roman" w:hAnsi="Times New Roman"/>
          <w:b/>
          <w:sz w:val="28"/>
          <w:szCs w:val="28"/>
          <w:lang w:val="it-CH"/>
        </w:rPr>
      </w:pPr>
      <w:r w:rsidRPr="006251A3">
        <w:rPr>
          <w:rFonts w:ascii="Times New Roman" w:hAnsi="Times New Roman"/>
          <w:b/>
          <w:sz w:val="28"/>
          <w:szCs w:val="28"/>
          <w:lang w:val="it-CH"/>
        </w:rPr>
        <w:t>“</w:t>
      </w:r>
      <w:r w:rsidR="007F09B1" w:rsidRPr="007F09B1">
        <w:rPr>
          <w:rFonts w:ascii="Times New Roman" w:hAnsi="Times New Roman"/>
          <w:b/>
          <w:sz w:val="28"/>
          <w:szCs w:val="28"/>
          <w:lang w:val="it-CH"/>
        </w:rPr>
        <w:t>PËR</w:t>
      </w:r>
    </w:p>
    <w:p w14:paraId="15D41E1C" w14:textId="459F8370" w:rsidR="00D22313" w:rsidRPr="006251A3" w:rsidRDefault="007F09B1" w:rsidP="00FC2EB6">
      <w:pPr>
        <w:jc w:val="center"/>
        <w:rPr>
          <w:rFonts w:ascii="Times New Roman" w:hAnsi="Times New Roman"/>
          <w:b/>
          <w:sz w:val="28"/>
          <w:szCs w:val="28"/>
          <w:lang w:val="it-CH"/>
        </w:rPr>
      </w:pPr>
      <w:r w:rsidRPr="007F09B1">
        <w:rPr>
          <w:rFonts w:ascii="Times New Roman" w:hAnsi="Times New Roman"/>
          <w:b/>
          <w:sz w:val="28"/>
          <w:szCs w:val="28"/>
          <w:lang w:val="it-CH"/>
        </w:rPr>
        <w:t>RAPORTIMIN E PAGESAVE NDËRKUFITARE DHE KRIJIMIN E SISTEMIT ELEKTRONIK TË INFORMACIONIT MBI KËTO PAGESA</w:t>
      </w:r>
      <w:r w:rsidR="004B0D41" w:rsidRPr="006251A3">
        <w:rPr>
          <w:rFonts w:ascii="Times New Roman" w:hAnsi="Times New Roman"/>
          <w:b/>
          <w:sz w:val="28"/>
          <w:szCs w:val="28"/>
          <w:lang w:val="sq-AL"/>
        </w:rPr>
        <w:t>”</w:t>
      </w:r>
    </w:p>
    <w:p w14:paraId="6096494E" w14:textId="77777777" w:rsidR="005741BE" w:rsidRPr="006251A3" w:rsidRDefault="005741BE" w:rsidP="00FC2EB6">
      <w:pPr>
        <w:spacing w:after="60"/>
        <w:jc w:val="both"/>
        <w:rPr>
          <w:rFonts w:ascii="Times New Roman" w:hAnsi="Times New Roman"/>
          <w:b/>
          <w:sz w:val="28"/>
          <w:szCs w:val="28"/>
          <w:lang w:val="it-CH"/>
        </w:rPr>
      </w:pPr>
    </w:p>
    <w:p w14:paraId="0593D099" w14:textId="77777777" w:rsidR="004B0D41" w:rsidRPr="006251A3" w:rsidRDefault="004B0D41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QËLLIMI I PROJEKTLIGJIT DHE O</w:t>
      </w:r>
      <w:r w:rsidR="00D22313" w:rsidRPr="006251A3">
        <w:rPr>
          <w:rFonts w:ascii="Times New Roman" w:hAnsi="Times New Roman"/>
          <w:b/>
          <w:sz w:val="28"/>
          <w:szCs w:val="28"/>
          <w:lang w:val="sq-AL"/>
        </w:rPr>
        <w:t>BJEKTIVAT QË SYNOHEN TË ARRIHEN</w:t>
      </w:r>
    </w:p>
    <w:p w14:paraId="12B62872" w14:textId="77777777" w:rsidR="0081491B" w:rsidRPr="006251A3" w:rsidRDefault="0081491B" w:rsidP="00FC2EB6">
      <w:pPr>
        <w:pStyle w:val="Default"/>
        <w:spacing w:line="276" w:lineRule="auto"/>
        <w:jc w:val="both"/>
        <w:rPr>
          <w:sz w:val="28"/>
          <w:szCs w:val="28"/>
          <w:lang w:val="sq-AL"/>
        </w:rPr>
      </w:pPr>
    </w:p>
    <w:p w14:paraId="5B75DC6B" w14:textId="626EE1A0" w:rsidR="007F09B1" w:rsidRPr="007F09B1" w:rsidRDefault="007F09B1" w:rsidP="00FC2EB6">
      <w:pPr>
        <w:spacing w:after="6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7F09B1">
        <w:rPr>
          <w:rFonts w:ascii="Times New Roman" w:hAnsi="Times New Roman"/>
          <w:color w:val="000000"/>
          <w:sz w:val="28"/>
          <w:szCs w:val="28"/>
          <w:lang w:val="sq-AL"/>
        </w:rPr>
        <w:t xml:space="preserve">Qëllimi i këtij </w:t>
      </w:r>
      <w:r w:rsidR="00A25348">
        <w:rPr>
          <w:rFonts w:ascii="Times New Roman" w:hAnsi="Times New Roman"/>
          <w:color w:val="000000"/>
          <w:sz w:val="28"/>
          <w:szCs w:val="28"/>
          <w:lang w:val="sq-AL"/>
        </w:rPr>
        <w:t>projekt</w:t>
      </w:r>
      <w:r w:rsidRPr="007F09B1">
        <w:rPr>
          <w:rFonts w:ascii="Times New Roman" w:hAnsi="Times New Roman"/>
          <w:color w:val="000000"/>
          <w:sz w:val="28"/>
          <w:szCs w:val="28"/>
          <w:lang w:val="sq-AL"/>
        </w:rPr>
        <w:t>ligji është të sigurojë mbledhjen, administrimin dhe raportimin e të dhënave mbi pagesat ndërkufitare, për të mundësuar: a) parandalimin dhe luftën kundër mashtrimeve të lidhura me Tatimin mbi Vlerën e Shtuar (TVSH);</w:t>
      </w:r>
    </w:p>
    <w:p w14:paraId="5395EC3B" w14:textId="77777777" w:rsidR="007F09B1" w:rsidRPr="007F09B1" w:rsidRDefault="007F09B1" w:rsidP="00FC2EB6">
      <w:pPr>
        <w:spacing w:after="6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7F09B1">
        <w:rPr>
          <w:rFonts w:ascii="Times New Roman" w:hAnsi="Times New Roman"/>
          <w:color w:val="000000"/>
          <w:sz w:val="28"/>
          <w:szCs w:val="28"/>
          <w:lang w:val="sq-AL"/>
        </w:rPr>
        <w:t>b) shkëmbimin e informacionit me sistemin qendror të Bashkimit Evropian për pagesat ndërkufitare (CESOP).</w:t>
      </w:r>
    </w:p>
    <w:p w14:paraId="39947AD6" w14:textId="77777777" w:rsidR="007F09B1" w:rsidRPr="007F09B1" w:rsidRDefault="007F09B1" w:rsidP="00FC2EB6">
      <w:pPr>
        <w:spacing w:after="6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03930B2" w14:textId="77777777" w:rsidR="007F09B1" w:rsidRPr="007F09B1" w:rsidRDefault="007F09B1" w:rsidP="00FC2EB6">
      <w:pPr>
        <w:spacing w:after="6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7F09B1">
        <w:rPr>
          <w:rFonts w:ascii="Times New Roman" w:hAnsi="Times New Roman"/>
          <w:color w:val="000000"/>
          <w:sz w:val="28"/>
          <w:szCs w:val="28"/>
          <w:lang w:val="sq-AL"/>
        </w:rPr>
        <w:t xml:space="preserve">Në zbatim të Planit të Punës për Closing Benchmark për kapitullin 16, Përafrim me Direktivën e Këshillit (BE) 2020/283 dhe Direktivën e Komisionit (BE) 2020/284, që ndryshon Direktivën 2006/112/EC për integrimin e dispozitave mbi CE, me Urdhër të Ministrit të Financave nr. 38, datë 12.02.2026, u ngrit grupi i punës për Hartimin e Projektligjit “Për raportimin e pagesave ndërkufitare dhe krijimin e sistemit elektronik të informacionit mbi këto pagesa”. </w:t>
      </w:r>
    </w:p>
    <w:p w14:paraId="7D0DE50B" w14:textId="77777777" w:rsidR="007F09B1" w:rsidRPr="007F09B1" w:rsidRDefault="007F09B1" w:rsidP="00FC2EB6">
      <w:pPr>
        <w:spacing w:after="6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EA6A6C5" w14:textId="1918C2AC" w:rsidR="00F10EE3" w:rsidRPr="006251A3" w:rsidRDefault="007F09B1" w:rsidP="00FC2EB6">
      <w:pPr>
        <w:spacing w:after="60"/>
        <w:jc w:val="both"/>
        <w:rPr>
          <w:lang w:val="sq-AL"/>
        </w:rPr>
      </w:pPr>
      <w:r w:rsidRPr="007F09B1">
        <w:rPr>
          <w:rFonts w:ascii="Times New Roman" w:hAnsi="Times New Roman"/>
          <w:color w:val="000000"/>
          <w:sz w:val="28"/>
          <w:szCs w:val="28"/>
          <w:lang w:val="sq-AL"/>
        </w:rPr>
        <w:t>Në vijim të punës së këtij grupi, është evidentuar nevoja për krijimin e një baze të qartë ligjore që mundëson mbledhjen, administrimin dhe raportimin e informacionit mbi pagesat ndërkufitare, në përputhje me kërkesat e sistemit CESOP. Ky kuadër ligjor është i domosdoshëm për garantimin e zbatimit efektiv të detyrimeve që rrjedhin nga legjislacioni i Bashkimit Evropian në fushën e bashkëpunimit administrativ dhe për forcimin e mekanizmave të kontrollit tatimor në nivel ndërkombëtar.</w:t>
      </w:r>
    </w:p>
    <w:p w14:paraId="339767C5" w14:textId="2F1A031F" w:rsidR="006A0F72" w:rsidRPr="006251A3" w:rsidRDefault="005C4495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lastRenderedPageBreak/>
        <w:t>VLERËSIMI I PROJEKT</w:t>
      </w:r>
      <w:r w:rsidR="004B0D41" w:rsidRPr="006251A3">
        <w:rPr>
          <w:rFonts w:ascii="Times New Roman" w:hAnsi="Times New Roman"/>
          <w:b/>
          <w:sz w:val="28"/>
          <w:szCs w:val="28"/>
          <w:lang w:val="sq-AL"/>
        </w:rPr>
        <w:t xml:space="preserve">AKTIT NË RAPORT ME PROGRAMIN POLITIK TË KËSHILLIT TË MINISTRAVE, ME PROGRAMIN ANALITIK TË AKTEVE </w:t>
      </w:r>
      <w:r w:rsidR="00D22313" w:rsidRPr="006251A3">
        <w:rPr>
          <w:rFonts w:ascii="Times New Roman" w:hAnsi="Times New Roman"/>
          <w:b/>
          <w:sz w:val="28"/>
          <w:szCs w:val="28"/>
          <w:lang w:val="sq-AL"/>
        </w:rPr>
        <w:t>DHE DOKUMENTE TË TJERA POLITIKE</w:t>
      </w:r>
      <w:r w:rsidR="004B0D41" w:rsidRPr="006251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13A8B0B" w14:textId="77777777" w:rsidR="007A5DC2" w:rsidRPr="006251A3" w:rsidRDefault="007A5DC2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6547819" w14:textId="77777777" w:rsidR="007F09B1" w:rsidRPr="007F09B1" w:rsidRDefault="007F09B1" w:rsidP="00FC2EB6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 xml:space="preserve">Ky projektligj është parashikuar në programin analitik të Këshillit të Ministrave. </w:t>
      </w:r>
    </w:p>
    <w:p w14:paraId="71900695" w14:textId="77777777" w:rsidR="007F09B1" w:rsidRDefault="007F09B1" w:rsidP="00FC2EB6">
      <w:pPr>
        <w:pStyle w:val="ListParagraph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638060BB" w14:textId="5A76457B" w:rsidR="00E84A71" w:rsidRPr="006251A3" w:rsidRDefault="004B0D41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ARGUMENTIMI I PROJEKTLIGJIT LIDHUR ME PËRPARËSITË, PR</w:t>
      </w:r>
      <w:r w:rsidR="00D22313" w:rsidRPr="006251A3">
        <w:rPr>
          <w:rFonts w:ascii="Times New Roman" w:hAnsi="Times New Roman"/>
          <w:b/>
          <w:sz w:val="28"/>
          <w:szCs w:val="28"/>
          <w:lang w:val="sq-AL"/>
        </w:rPr>
        <w:t>OBLEMATIKAT</w:t>
      </w:r>
      <w:r w:rsidR="00993A7D" w:rsidRPr="006251A3">
        <w:rPr>
          <w:rFonts w:ascii="Times New Roman" w:hAnsi="Times New Roman"/>
          <w:b/>
          <w:sz w:val="28"/>
          <w:szCs w:val="28"/>
          <w:lang w:val="sq-AL"/>
        </w:rPr>
        <w:t xml:space="preserve"> DHE </w:t>
      </w:r>
      <w:r w:rsidR="00D22313" w:rsidRPr="006251A3">
        <w:rPr>
          <w:rFonts w:ascii="Times New Roman" w:hAnsi="Times New Roman"/>
          <w:b/>
          <w:sz w:val="28"/>
          <w:szCs w:val="28"/>
          <w:lang w:val="sq-AL"/>
        </w:rPr>
        <w:t>EFEKTET E PRITSHME</w:t>
      </w: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4F0BCC36" w14:textId="77777777" w:rsidR="006A0F72" w:rsidRPr="006251A3" w:rsidRDefault="006A0F72" w:rsidP="00FC2EB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67FBFD0" w14:textId="77777777" w:rsidR="007F09B1" w:rsidRP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Zhvillimi i tregtisë elektronike dhe rritja e përdorimit të pagesave ndërkufitare kanë sjellë sfida të reja për administrimin tatimor, veçanërisht në drejtim të kontrollit dhe mbledhjes së TVSH-së. Mungesa e informacionit të strukturuar mbi këto pagesa vështirëson identifikimin e subjekteve që ushtrojnë aktivitet ekonomik pa përmbushur detyrimet tatimore, duke krijuar hapësira për evazion fiskal.</w:t>
      </w:r>
    </w:p>
    <w:p w14:paraId="764759F6" w14:textId="77777777" w:rsid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249D992" w14:textId="2465F3D1" w:rsidR="007F09B1" w:rsidRP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Në këtë kontekst, projektligji synon të adresojë këto problematika nëpërmjet krijimit të një kuadri ligjor që mundëson mbledhjen, administrimin dhe raportimin e informacionit mbi pagesat ndërkufitare, në përputhje me standardet e Bashkimit Evropian dhe sistemin CESOP.</w:t>
      </w:r>
    </w:p>
    <w:p w14:paraId="462CA861" w14:textId="77777777" w:rsidR="007F09B1" w:rsidRPr="007F09B1" w:rsidRDefault="007F09B1" w:rsidP="00FC2EB6">
      <w:pPr>
        <w:pStyle w:val="ListParagraph"/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A44721F" w14:textId="77777777" w:rsidR="007F09B1" w:rsidRP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Zbatimi i këtij projektligji paraqet disa përparësi të rëndësishme, ndër të cilat:</w:t>
      </w:r>
    </w:p>
    <w:p w14:paraId="6EDAE3C7" w14:textId="77777777" w:rsidR="007F09B1" w:rsidRPr="007F09B1" w:rsidRDefault="007F09B1" w:rsidP="00FC2EB6">
      <w:pPr>
        <w:pStyle w:val="ListParagraph"/>
        <w:numPr>
          <w:ilvl w:val="0"/>
          <w:numId w:val="10"/>
        </w:num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rritja e transparencës në transaksionet ndërkufitare;</w:t>
      </w:r>
    </w:p>
    <w:p w14:paraId="5E61454C" w14:textId="77777777" w:rsidR="007F09B1" w:rsidRPr="007F09B1" w:rsidRDefault="007F09B1" w:rsidP="00FC2EB6">
      <w:pPr>
        <w:pStyle w:val="ListParagraph"/>
        <w:numPr>
          <w:ilvl w:val="0"/>
          <w:numId w:val="10"/>
        </w:num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përmirësimi i identifikimit të subjekteve që shmangin detyrimet e TVSH-së;</w:t>
      </w:r>
    </w:p>
    <w:p w14:paraId="54AC6620" w14:textId="77777777" w:rsidR="007F09B1" w:rsidRPr="007F09B1" w:rsidRDefault="007F09B1" w:rsidP="00FC2EB6">
      <w:pPr>
        <w:pStyle w:val="ListParagraph"/>
        <w:numPr>
          <w:ilvl w:val="0"/>
          <w:numId w:val="10"/>
        </w:num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forcimi i kapaciteteve të administratës tatimore për analizën e riskut;</w:t>
      </w:r>
    </w:p>
    <w:p w14:paraId="74D6BA94" w14:textId="77777777" w:rsidR="007F09B1" w:rsidRPr="007F09B1" w:rsidRDefault="007F09B1" w:rsidP="00FC2EB6">
      <w:pPr>
        <w:pStyle w:val="ListParagraph"/>
        <w:numPr>
          <w:ilvl w:val="0"/>
          <w:numId w:val="10"/>
        </w:num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rritja e bashkëpunimit ndërkombëtar në fushën tatimore.</w:t>
      </w:r>
    </w:p>
    <w:p w14:paraId="68928793" w14:textId="77777777" w:rsid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9D09BFF" w14:textId="23074298" w:rsidR="007F09B1" w:rsidRPr="007F09B1" w:rsidRDefault="007F09B1" w:rsidP="00FC2EB6">
      <w:pPr>
        <w:spacing w:after="1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Efektet e pritshme të projektligjit lidhen me përmirësimin e administrimit tatimor, reduktimin e evazionit fiskal në fushën e TVSH-së dhe rritjen e të ardhurave buxhetore, si dhe me përafrimin e legjislacionit kombëtar me acquis të Bashkimit Evropian.</w:t>
      </w:r>
    </w:p>
    <w:p w14:paraId="147D405E" w14:textId="77777777" w:rsidR="00E2280F" w:rsidRPr="006251A3" w:rsidRDefault="00E2280F" w:rsidP="00FC2EB6">
      <w:pPr>
        <w:pStyle w:val="ListParagraph"/>
        <w:spacing w:after="160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q-AL"/>
        </w:rPr>
      </w:pPr>
    </w:p>
    <w:p w14:paraId="3D2AB7C8" w14:textId="77777777" w:rsidR="004B0D41" w:rsidRPr="006251A3" w:rsidRDefault="004B0D41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</w:t>
      </w:r>
      <w:r w:rsidR="00D22313" w:rsidRPr="006251A3">
        <w:rPr>
          <w:rFonts w:ascii="Times New Roman" w:hAnsi="Times New Roman"/>
          <w:b/>
          <w:sz w:val="28"/>
          <w:szCs w:val="28"/>
          <w:lang w:val="sq-AL"/>
        </w:rPr>
        <w:t xml:space="preserve"> NË FUQI VENDAS E NDËRKOMBËTAR </w:t>
      </w:r>
    </w:p>
    <w:p w14:paraId="6EF1A21F" w14:textId="14A8FD78" w:rsidR="002745F5" w:rsidRPr="006251A3" w:rsidRDefault="007F09B1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7F09B1">
        <w:rPr>
          <w:rFonts w:ascii="Times New Roman" w:hAnsi="Times New Roman"/>
          <w:sz w:val="28"/>
          <w:szCs w:val="28"/>
          <w:lang w:val="sq-AL"/>
        </w:rPr>
        <w:t>Projek</w:t>
      </w:r>
      <w:r w:rsidR="00FC2EB6">
        <w:rPr>
          <w:rFonts w:ascii="Times New Roman" w:hAnsi="Times New Roman"/>
          <w:sz w:val="28"/>
          <w:szCs w:val="28"/>
          <w:lang w:val="sq-AL"/>
        </w:rPr>
        <w:t>t</w:t>
      </w:r>
      <w:r w:rsidRPr="007F09B1">
        <w:rPr>
          <w:rFonts w:ascii="Times New Roman" w:hAnsi="Times New Roman"/>
          <w:sz w:val="28"/>
          <w:szCs w:val="28"/>
          <w:lang w:val="sq-AL"/>
        </w:rPr>
        <w:t>ligj</w:t>
      </w:r>
      <w:r>
        <w:rPr>
          <w:rFonts w:ascii="Times New Roman" w:hAnsi="Times New Roman"/>
          <w:sz w:val="28"/>
          <w:szCs w:val="28"/>
          <w:lang w:val="sq-AL"/>
        </w:rPr>
        <w:t>i</w:t>
      </w:r>
      <w:r w:rsidRPr="007F09B1">
        <w:rPr>
          <w:rFonts w:ascii="Times New Roman" w:hAnsi="Times New Roman"/>
          <w:sz w:val="28"/>
          <w:szCs w:val="28"/>
          <w:lang w:val="sq-AL"/>
        </w:rPr>
        <w:t xml:space="preserve"> është në përputhje me nenin 81 dhe 82 të Kushtetutës së Republikës së Shqipërisë.</w:t>
      </w:r>
    </w:p>
    <w:p w14:paraId="424D74B6" w14:textId="77777777" w:rsidR="00FC2EB6" w:rsidRDefault="00FC2EB6" w:rsidP="00FC2EB6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6E5847C" w14:textId="32109C6B" w:rsidR="00F10EE3" w:rsidRPr="006251A3" w:rsidRDefault="004B0D41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VLERËSIMI I SHKALLËS SË PËRAFRIMIT ME ACQUIS COMMUNAUTAIR</w:t>
      </w:r>
      <w:r w:rsidR="002745F5" w:rsidRPr="006251A3">
        <w:rPr>
          <w:rFonts w:ascii="Times New Roman" w:hAnsi="Times New Roman"/>
          <w:b/>
          <w:sz w:val="28"/>
          <w:szCs w:val="28"/>
          <w:lang w:val="sq-AL"/>
        </w:rPr>
        <w:t>E (PËR PROJEKT-AKTET NORMATIVE)</w:t>
      </w:r>
    </w:p>
    <w:p w14:paraId="38E19AE1" w14:textId="77777777" w:rsidR="0074575C" w:rsidRPr="006251A3" w:rsidRDefault="0074575C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BB66B2E" w14:textId="77777777" w:rsidR="002D0BCF" w:rsidRPr="002D0BCF" w:rsidRDefault="002D0BCF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D0BCF">
        <w:rPr>
          <w:rFonts w:ascii="Times New Roman" w:hAnsi="Times New Roman"/>
          <w:sz w:val="28"/>
          <w:szCs w:val="28"/>
          <w:lang w:val="sq-AL"/>
        </w:rPr>
        <w:t>Projektligji paraqet një shkallë të plotë përafrimi të legjislacionit shqiptar me acquis communautaire në fushën e bashkëpunimit administrativ për Tatimin mbi Vlerën e Shtuar (TVSH), nëpërmjet transpozimit të Direktivës (BE) 2020/284 të Këshillit dhe zbatimit të kërkesave të Rregullores (BE) 2020/283, si dhe akteve përkatëse zbatuese.</w:t>
      </w:r>
    </w:p>
    <w:p w14:paraId="103A8640" w14:textId="77777777" w:rsidR="002D0BCF" w:rsidRPr="002D0BCF" w:rsidRDefault="002D0BCF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03D041E" w14:textId="77777777" w:rsidR="002D0BCF" w:rsidRPr="002D0BCF" w:rsidRDefault="002D0BCF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D0BCF">
        <w:rPr>
          <w:rFonts w:ascii="Times New Roman" w:hAnsi="Times New Roman"/>
          <w:sz w:val="28"/>
          <w:szCs w:val="28"/>
          <w:lang w:val="sq-AL"/>
        </w:rPr>
        <w:t>Dispozitat e projektligjit pasqyrojnë në mënyrë të drejtpërdrejtë detyrimet e parashikuara nga legjislacioni i Bashkimit Evropian për mbledhjen, ruajtjen dhe raportimin e të dhënave mbi pagesat ndërkufitare nga ofruesit e shërbimeve të pagesave, si dhe për shkëmbimin e këtij informacioni përmes Sistemit Qendror CESOP.</w:t>
      </w:r>
    </w:p>
    <w:p w14:paraId="2FD3B596" w14:textId="77777777" w:rsidR="002D0BCF" w:rsidRPr="002D0BCF" w:rsidRDefault="002D0BCF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1CF394D" w14:textId="67EA084B" w:rsidR="00065CC8" w:rsidRPr="006251A3" w:rsidRDefault="002D0BCF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D0BCF">
        <w:rPr>
          <w:rFonts w:ascii="Times New Roman" w:hAnsi="Times New Roman"/>
          <w:sz w:val="28"/>
          <w:szCs w:val="28"/>
          <w:lang w:val="sq-AL"/>
        </w:rPr>
        <w:t>Në këtë kuadër, projektligji vlerësohet se arrin një përputhshmëri të plotë me acquis communautaire dhe kontribuon drejtpërdrejt në përmbushjen e detyrimeve që rrjedhin nga procesi i integrimit evropian.</w:t>
      </w:r>
    </w:p>
    <w:p w14:paraId="5DEE14A3" w14:textId="77777777" w:rsidR="002D0BCF" w:rsidRDefault="002D0BCF" w:rsidP="00FC2EB6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60D88270" w14:textId="184D060E" w:rsidR="002745F5" w:rsidRPr="006251A3" w:rsidRDefault="004B0D41" w:rsidP="00FC2EB6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PËRMBLED</w:t>
      </w:r>
      <w:r w:rsidR="00073319" w:rsidRPr="006251A3">
        <w:rPr>
          <w:rFonts w:ascii="Times New Roman" w:hAnsi="Times New Roman"/>
          <w:b/>
          <w:sz w:val="28"/>
          <w:szCs w:val="28"/>
          <w:lang w:val="sq-AL"/>
        </w:rPr>
        <w:t xml:space="preserve">HJE SHPJEGUESE E PËRMBAJTJES SË  </w:t>
      </w:r>
      <w:r w:rsidR="00F10EE3" w:rsidRPr="006251A3">
        <w:rPr>
          <w:rFonts w:ascii="Times New Roman" w:hAnsi="Times New Roman"/>
          <w:b/>
          <w:sz w:val="28"/>
          <w:szCs w:val="28"/>
          <w:lang w:val="sq-AL"/>
        </w:rPr>
        <w:t xml:space="preserve">   </w:t>
      </w:r>
      <w:r w:rsidR="002745F5" w:rsidRPr="006251A3">
        <w:rPr>
          <w:rFonts w:ascii="Times New Roman" w:hAnsi="Times New Roman"/>
          <w:b/>
          <w:sz w:val="28"/>
          <w:szCs w:val="28"/>
          <w:lang w:val="sq-AL"/>
        </w:rPr>
        <w:t>PROJEKT-AKTIT</w:t>
      </w:r>
    </w:p>
    <w:p w14:paraId="4E61194A" w14:textId="77777777" w:rsidR="00E77C03" w:rsidRPr="006251A3" w:rsidRDefault="00E77C03" w:rsidP="00FC2EB6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06ACC6B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objektin e ligjit, duke rregulluar krijimin, administrimin dhe funksionimin e Sistemit Elektronik të Informacionit mbi Pagesat Ndërkufitare (CESOP), si bazë e të dhënave shtetërore, si dhe detyrimin e ofruesve të shërbimeve të pagesave për mbledhjen dhe raportimin e të dhënave mbi pagesat ndërkufitare.</w:t>
      </w:r>
    </w:p>
    <w:p w14:paraId="1C30E4DD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AC8AA69" w14:textId="7C44C996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lastRenderedPageBreak/>
        <w:t>Neni 2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qëllimin e ligjit, i cili konsiston në mbledhjen, administrimin, p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rpunimin dhe shkëmbimin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e informacionit mbi pagesat ndërkufitare, me qëllim  parandalimin, identifikimin, luftimin e mashtrimit dhe kontrollit në fushën e Tatimit mbi Vlerën e Shtuar (TVSH), si dhe ndërveprimin me sistemin qendror CESOP të Bashkimit Evropian.</w:t>
      </w:r>
    </w:p>
    <w:p w14:paraId="1F3E3EFF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32038B5A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3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fushën e zbatimit të ligjit, duke parashikuar zbatimin e tij për ofruesit e shërbimeve të pagesave të licencuar që ushtrojnë veprimtari në Republikën e Shqipërisë, për pagesat ndërkufitare të realizuara prej tyre.</w:t>
      </w:r>
    </w:p>
    <w:p w14:paraId="4D05BB32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6FEB57E6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4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 xml:space="preserve">: Parashikon përkufizimet kryesore të përdorura në ligj, në përputhje me legjislacionin kombëtar dhe të Bashkimit Evropian. </w:t>
      </w:r>
    </w:p>
    <w:p w14:paraId="3297F5E9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AC1C018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5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parimet e përgjithshme për shkëmbimin e informacionit, duke garantuar konfidencialitetin, sigurinë dhe mbrojtjen e të dhënave personale, në përputhje me legjislacionin përkatës dhe standardet e Bashkimit Evropian.</w:t>
      </w:r>
    </w:p>
    <w:p w14:paraId="45F30108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167B5F1C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6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Rregullon krijimin dhe administrimin e sistemit elektronik për pagesat ndërkufitare, duke përcaktuar Drejtorinë e Përgjithshme të Tatimeve si institucionin përgjegjës për përpunimin dhe transmetimin e të dhënave dhe Agjencinë Kombëtare të Shoqërisë së Informacionit si autoritetin përgjegjës për aspektet teknike dhe të sigurisë.</w:t>
      </w:r>
    </w:p>
    <w:p w14:paraId="15FC686D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F3EDA5E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7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Parashikon përjashtimet nga detyrimi i raportimit, në rastet e përcaktuara shprehimisht në ligj.</w:t>
      </w:r>
    </w:p>
    <w:p w14:paraId="794C0789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74CA063B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8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kriteret për përcaktimin e vendndodhjes së paguesit dhe përfituesit të pagesës, për qëllime të raportimit dhe ruajtjes së informacionit mbi pagesat ndërkufitare.</w:t>
      </w:r>
    </w:p>
    <w:p w14:paraId="055E0231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286D5EA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9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Rregullon detyrimet konkrete të ofruesve të shërbimeve të pagesave për raportimin e të dhënave.</w:t>
      </w:r>
    </w:p>
    <w:p w14:paraId="09C929C2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553B05A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10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përmbajtjen e të dhënave që duhet të mbahen dhe të raportohen nga ofruesit e shërbimeve të pagesave.</w:t>
      </w:r>
    </w:p>
    <w:p w14:paraId="76A131FE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2107CEE5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lastRenderedPageBreak/>
        <w:t>Neni 11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Parashikon mbledhjen dhe transmetimin e të dhënave nga Drejtoria e Përgjithshme e Tatimeve drejt sistemit qendror CESOP të Bashkimit Evropian.</w:t>
      </w:r>
    </w:p>
    <w:p w14:paraId="4398F03F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5D457E8C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12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rregullat për ruajtjen, përdorimin e të dhënave nga administrata tatimore, duke kufizuar përdorimin e tyre vetëm për qëllime të përcaktuara në këtë ligj.</w:t>
      </w:r>
    </w:p>
    <w:p w14:paraId="4E149CA5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07CA5357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13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Parashikon masat për sigurinë e informacionit dhe ndërveprimin me sistemet ndërkombëtare, duke garantuar mbrojtjen e të dhënave dhe aksesin e kufizuar vetëm për personat e autorizuar.</w:t>
      </w:r>
    </w:p>
    <w:p w14:paraId="77EBEB92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30B93E5F" w14:textId="356E6FB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14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 xml:space="preserve">: </w:t>
      </w:r>
      <w:r w:rsidR="00FC2EB6">
        <w:rPr>
          <w:rFonts w:ascii="Times New Roman" w:hAnsi="Times New Roman"/>
          <w:color w:val="000000"/>
          <w:sz w:val="28"/>
          <w:szCs w:val="28"/>
          <w:lang w:val="sq-AL"/>
        </w:rPr>
        <w:t>Rregullon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 xml:space="preserve"> kundërvajtjet administrative dhe sanksionet për shkeljet e detyrimeve të parashikuara nga ligji</w:t>
      </w:r>
      <w:r w:rsidR="00FC2EB6">
        <w:rPr>
          <w:rFonts w:ascii="Times New Roman" w:hAnsi="Times New Roman"/>
          <w:color w:val="000000"/>
          <w:sz w:val="28"/>
          <w:szCs w:val="28"/>
          <w:lang w:val="sq-AL"/>
        </w:rPr>
        <w:t>, masa e të cilave do të përcaktohet pas konsultimit me Bashkimin Evropian.</w:t>
      </w:r>
    </w:p>
    <w:p w14:paraId="4D9A7F94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3B1D2C07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15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Rregullon përgjegjësinë në rastet e forcës madhore dhe për njoftimin e Drejtorisë së Përgjithshme të Tatimeve.</w:t>
      </w:r>
    </w:p>
    <w:p w14:paraId="692EEB85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80E4B7F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16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 Ngarkohen administrata tatimore, ofruesit e shërbimit të pagesave dhe Agjensia Kombëtare e Shkëmbimit të Informacionit për zbatimin e këtij ligji nga data e anëtarësimit të Republikës së Shqipërisë në BE.</w:t>
      </w:r>
    </w:p>
    <w:p w14:paraId="67731C7A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46187040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17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Parashikon nxjerrjen e akteve nënligjore për përcaktimin e rregullave të hollësishme, procedurave dhe aspekteve teknike për zbatimin e këtij ligji.</w:t>
      </w:r>
    </w:p>
    <w:p w14:paraId="329731B9" w14:textId="77777777" w:rsidR="002D0BCF" w:rsidRPr="002D0BCF" w:rsidRDefault="002D0BCF" w:rsidP="00FC2EB6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28FADD30" w14:textId="6D5B6451" w:rsidR="00201ABD" w:rsidRPr="006251A3" w:rsidRDefault="002D0BCF" w:rsidP="00FC2EB6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 w:eastAsia="sq-AL"/>
        </w:rPr>
      </w:pPr>
      <w:r w:rsidRPr="002D0BCF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>Neni 18</w:t>
      </w:r>
      <w:r w:rsidRPr="002D0BCF">
        <w:rPr>
          <w:rFonts w:ascii="Times New Roman" w:hAnsi="Times New Roman"/>
          <w:color w:val="000000"/>
          <w:sz w:val="28"/>
          <w:szCs w:val="28"/>
          <w:lang w:val="sq-AL"/>
        </w:rPr>
        <w:t>: Përcakton hyrjen në fuqi të ligjit dhe kohën e fillimit të efekteve të tij.</w:t>
      </w:r>
    </w:p>
    <w:p w14:paraId="09FC7075" w14:textId="3B043974" w:rsidR="004B0D41" w:rsidRPr="006251A3" w:rsidRDefault="004B0D41" w:rsidP="00FC2EB6">
      <w:pPr>
        <w:pStyle w:val="ListParagraph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3472FAF7" w14:textId="77777777" w:rsidR="004B0D41" w:rsidRPr="006251A3" w:rsidRDefault="004B0D41" w:rsidP="00FC2EB6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INSTITUCIONET DHE ORGANET QË NGAR</w:t>
      </w:r>
      <w:r w:rsidR="00266296" w:rsidRPr="006251A3">
        <w:rPr>
          <w:rFonts w:ascii="Times New Roman" w:hAnsi="Times New Roman"/>
          <w:b/>
          <w:sz w:val="28"/>
          <w:szCs w:val="28"/>
          <w:lang w:val="sq-AL"/>
        </w:rPr>
        <w:t>KOHEN PËR ZBATIMIN E KËTIJ AKTI</w:t>
      </w:r>
    </w:p>
    <w:p w14:paraId="7E14112F" w14:textId="77777777" w:rsidR="00E77C03" w:rsidRPr="006251A3" w:rsidRDefault="00E77C03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D892FF6" w14:textId="124DE88A" w:rsidR="002D0BCF" w:rsidRDefault="002D0BCF" w:rsidP="00FC2EB6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D0BCF">
        <w:rPr>
          <w:rFonts w:ascii="Times New Roman" w:hAnsi="Times New Roman"/>
          <w:sz w:val="28"/>
          <w:szCs w:val="28"/>
          <w:lang w:val="sq-AL"/>
        </w:rPr>
        <w:t>Për zbatimin e këtij projektligji ngarkohen Ministria e Financave, Drejtoria e Përgjithshme e Tatimeve, Agjencia Kombëtare e Shoqërisë së Informacionit, si dhe Institucionet financiare.</w:t>
      </w:r>
    </w:p>
    <w:p w14:paraId="67094CBD" w14:textId="77777777" w:rsidR="002D0BCF" w:rsidRDefault="002D0BCF" w:rsidP="00FC2EB6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7A8FDE14" w14:textId="51DEAFC0" w:rsidR="00B800C7" w:rsidRPr="006251A3" w:rsidRDefault="004B0D41" w:rsidP="00FC2EB6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>PERSONAT DHE INSTITUCIONET QË KANË KONTRIB</w:t>
      </w:r>
      <w:r w:rsidR="00266296" w:rsidRPr="006251A3">
        <w:rPr>
          <w:rFonts w:ascii="Times New Roman" w:hAnsi="Times New Roman"/>
          <w:b/>
          <w:sz w:val="28"/>
          <w:szCs w:val="28"/>
          <w:lang w:val="sq-AL"/>
        </w:rPr>
        <w:t>U</w:t>
      </w:r>
      <w:r w:rsidR="00B800C7" w:rsidRPr="006251A3">
        <w:rPr>
          <w:rFonts w:ascii="Times New Roman" w:hAnsi="Times New Roman"/>
          <w:b/>
          <w:sz w:val="28"/>
          <w:szCs w:val="28"/>
          <w:lang w:val="sq-AL"/>
        </w:rPr>
        <w:t>U</w:t>
      </w:r>
      <w:r w:rsidR="00266296" w:rsidRPr="006251A3">
        <w:rPr>
          <w:rFonts w:ascii="Times New Roman" w:hAnsi="Times New Roman"/>
          <w:b/>
          <w:sz w:val="28"/>
          <w:szCs w:val="28"/>
          <w:lang w:val="sq-AL"/>
        </w:rPr>
        <w:t>AR NË HARTIMIN E PROJEKT-AKTIT</w:t>
      </w: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62E42817" w14:textId="77777777" w:rsidR="00E77C03" w:rsidRPr="006251A3" w:rsidRDefault="00E77C03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BAE52E3" w14:textId="778FF0CB" w:rsidR="007E37E1" w:rsidRDefault="007E37E1" w:rsidP="00FC2EB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7E37E1">
        <w:rPr>
          <w:rFonts w:ascii="Times New Roman" w:hAnsi="Times New Roman"/>
          <w:sz w:val="28"/>
          <w:szCs w:val="28"/>
          <w:lang w:val="sq-AL"/>
        </w:rPr>
        <w:lastRenderedPageBreak/>
        <w:t>Projektligj</w:t>
      </w:r>
      <w:r>
        <w:rPr>
          <w:rFonts w:ascii="Times New Roman" w:hAnsi="Times New Roman"/>
          <w:sz w:val="28"/>
          <w:szCs w:val="28"/>
          <w:lang w:val="sq-AL"/>
        </w:rPr>
        <w:t>i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është hartuar nga grupi i pun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s i ngritur me urdh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r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ministrit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financave nr. 38, dat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12.02.2026 dhe i d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rgohet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r</w:t>
      </w:r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mendim </w:t>
      </w:r>
      <w:r w:rsidRPr="006251A3">
        <w:rPr>
          <w:rFonts w:ascii="Times New Roman" w:hAnsi="Times New Roman"/>
          <w:sz w:val="28"/>
          <w:szCs w:val="28"/>
          <w:lang w:val="sq-AL"/>
        </w:rPr>
        <w:t>Ministrisë së Drejtësisë</w:t>
      </w:r>
      <w:r>
        <w:rPr>
          <w:rFonts w:ascii="Times New Roman" w:hAnsi="Times New Roman"/>
          <w:sz w:val="28"/>
          <w:szCs w:val="28"/>
          <w:lang w:val="sq-AL"/>
        </w:rPr>
        <w:t xml:space="preserve">, Ministrisë së Ekonomisë dhe Inovacionit, Agjencisë Kombëtare të Shoqërisë së Informacionit, Bankës së Shqipërisë dhe Shoqatës Shqiptare të Bankave. 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Gjithashtu, ky projektakt 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sht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d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rguar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>r mendim pran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Pr="007E37E1">
        <w:rPr>
          <w:rFonts w:ascii="Times New Roman" w:hAnsi="Times New Roman"/>
          <w:sz w:val="28"/>
          <w:szCs w:val="28"/>
          <w:lang w:val="sq-AL"/>
        </w:rPr>
        <w:t xml:space="preserve"> Komisionit E</w:t>
      </w:r>
      <w:r>
        <w:rPr>
          <w:rFonts w:ascii="Times New Roman" w:hAnsi="Times New Roman"/>
          <w:sz w:val="28"/>
          <w:szCs w:val="28"/>
          <w:lang w:val="sq-AL"/>
        </w:rPr>
        <w:t>v</w:t>
      </w:r>
      <w:r w:rsidRPr="007E37E1">
        <w:rPr>
          <w:rFonts w:ascii="Times New Roman" w:hAnsi="Times New Roman"/>
          <w:sz w:val="28"/>
          <w:szCs w:val="28"/>
          <w:lang w:val="sq-AL"/>
        </w:rPr>
        <w:t>ropian.</w:t>
      </w:r>
    </w:p>
    <w:p w14:paraId="07681D99" w14:textId="77777777" w:rsidR="00D7211B" w:rsidRPr="006251A3" w:rsidRDefault="00D7211B" w:rsidP="00FC2EB6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08B05BE" w14:textId="77777777" w:rsidR="004B0D41" w:rsidRPr="006251A3" w:rsidRDefault="004B0D41" w:rsidP="00FC2EB6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RAPORTI I VLERËSIMIT TË TË ARDHURAVE DHE SHPENZIMEVE          </w:t>
      </w:r>
      <w:r w:rsidR="005F4D8D" w:rsidRPr="006251A3">
        <w:rPr>
          <w:rFonts w:ascii="Times New Roman" w:hAnsi="Times New Roman"/>
          <w:b/>
          <w:sz w:val="28"/>
          <w:szCs w:val="28"/>
          <w:lang w:val="sq-AL"/>
        </w:rPr>
        <w:t>BUXHETORE</w:t>
      </w:r>
    </w:p>
    <w:p w14:paraId="50B30C3E" w14:textId="77777777" w:rsidR="001933CD" w:rsidRPr="006251A3" w:rsidRDefault="001933CD" w:rsidP="00FC2EB6">
      <w:pPr>
        <w:tabs>
          <w:tab w:val="left" w:pos="5610"/>
          <w:tab w:val="right" w:pos="936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84B9D50" w14:textId="28D24546" w:rsidR="00151A31" w:rsidRPr="006251A3" w:rsidRDefault="007E37E1" w:rsidP="00FC2EB6">
      <w:pPr>
        <w:tabs>
          <w:tab w:val="left" w:pos="5610"/>
          <w:tab w:val="right" w:pos="9360"/>
        </w:tabs>
        <w:jc w:val="both"/>
        <w:rPr>
          <w:rFonts w:ascii="Times New Roman" w:hAnsi="Times New Roman"/>
          <w:sz w:val="28"/>
          <w:szCs w:val="28"/>
          <w:lang w:val="sq-AL"/>
        </w:rPr>
      </w:pPr>
      <w:r w:rsidRPr="007E37E1">
        <w:rPr>
          <w:rFonts w:ascii="Times New Roman" w:hAnsi="Times New Roman"/>
          <w:sz w:val="28"/>
          <w:szCs w:val="28"/>
          <w:lang w:val="sq-AL"/>
        </w:rPr>
        <w:t xml:space="preserve">Projektligji sjell efekte financiare në buxhetin e shtetit duke qenë se parashikon krijimin e Sistemit Elektronik të Informacionit mbi Pagesat Ndërkufitare.  Kostoja e parashikuar për zbatimin e këtij projektligji llogaritet në 80,000,000 (tetëdhjetë milion) lekë.  </w:t>
      </w:r>
    </w:p>
    <w:p w14:paraId="7391125D" w14:textId="1F7A641C" w:rsidR="00C105B6" w:rsidRPr="006251A3" w:rsidRDefault="004B0D41" w:rsidP="00EE1C11">
      <w:pPr>
        <w:tabs>
          <w:tab w:val="left" w:pos="5610"/>
          <w:tab w:val="right" w:pos="9360"/>
        </w:tabs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   </w:t>
      </w:r>
      <w:r w:rsidR="00D964FA" w:rsidRPr="006251A3">
        <w:rPr>
          <w:rFonts w:ascii="Times New Roman" w:hAnsi="Times New Roman"/>
          <w:b/>
          <w:sz w:val="28"/>
          <w:szCs w:val="28"/>
          <w:lang w:val="sq-AL"/>
        </w:rPr>
        <w:t xml:space="preserve">                </w:t>
      </w:r>
      <w:r w:rsidRPr="006251A3">
        <w:rPr>
          <w:rFonts w:ascii="Times New Roman" w:hAnsi="Times New Roman"/>
          <w:b/>
          <w:sz w:val="28"/>
          <w:szCs w:val="28"/>
          <w:lang w:val="sq-AL"/>
        </w:rPr>
        <w:t>MINIS</w:t>
      </w:r>
      <w:r w:rsidR="001933CD" w:rsidRPr="006251A3">
        <w:rPr>
          <w:rFonts w:ascii="Times New Roman" w:hAnsi="Times New Roman"/>
          <w:b/>
          <w:sz w:val="28"/>
          <w:szCs w:val="28"/>
          <w:lang w:val="sq-AL"/>
        </w:rPr>
        <w:t>TRI</w:t>
      </w: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504E7A48" w14:textId="5E6B716A" w:rsidR="00BA2BB4" w:rsidRDefault="004B0D41" w:rsidP="00EE1C11">
      <w:pPr>
        <w:tabs>
          <w:tab w:val="left" w:pos="5610"/>
          <w:tab w:val="right" w:pos="9360"/>
        </w:tabs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6251A3">
        <w:rPr>
          <w:rFonts w:ascii="Times New Roman" w:hAnsi="Times New Roman"/>
          <w:b/>
          <w:sz w:val="28"/>
          <w:szCs w:val="28"/>
          <w:lang w:val="sq-AL"/>
        </w:rPr>
        <w:t xml:space="preserve">                                                                     </w:t>
      </w:r>
      <w:r w:rsidR="00D964FA" w:rsidRPr="006251A3">
        <w:rPr>
          <w:rFonts w:ascii="Times New Roman" w:hAnsi="Times New Roman"/>
          <w:b/>
          <w:sz w:val="28"/>
          <w:szCs w:val="28"/>
          <w:lang w:val="sq-AL"/>
        </w:rPr>
        <w:t xml:space="preserve">               </w:t>
      </w:r>
      <w:r w:rsidR="001933CD" w:rsidRPr="006251A3">
        <w:rPr>
          <w:rFonts w:ascii="Times New Roman" w:hAnsi="Times New Roman"/>
          <w:b/>
          <w:sz w:val="28"/>
          <w:szCs w:val="28"/>
          <w:lang w:val="sq-AL"/>
        </w:rPr>
        <w:t xml:space="preserve">   Petrit Malaj</w:t>
      </w:r>
      <w:r w:rsidRPr="00F10EE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63309F1A" w14:textId="77777777" w:rsidR="007E37E1" w:rsidRPr="007E37E1" w:rsidRDefault="007E37E1" w:rsidP="00FC2EB6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B7726B" w14:textId="33AD57E0" w:rsidR="007E37E1" w:rsidRPr="007E37E1" w:rsidRDefault="007E37E1" w:rsidP="00FC2EB6">
      <w:pPr>
        <w:tabs>
          <w:tab w:val="left" w:pos="3375"/>
        </w:tabs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ab/>
      </w:r>
    </w:p>
    <w:sectPr w:rsidR="007E37E1" w:rsidRPr="007E37E1" w:rsidSect="00BA2BB4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FEC7" w14:textId="77777777" w:rsidR="000D725B" w:rsidRDefault="000D725B" w:rsidP="00BA2BB4">
      <w:pPr>
        <w:spacing w:after="0" w:line="240" w:lineRule="auto"/>
      </w:pPr>
      <w:r>
        <w:separator/>
      </w:r>
    </w:p>
  </w:endnote>
  <w:endnote w:type="continuationSeparator" w:id="0">
    <w:p w14:paraId="7A037DFA" w14:textId="77777777" w:rsidR="000D725B" w:rsidRDefault="000D725B" w:rsidP="00BA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5973" w14:textId="7C46BFFF" w:rsidR="00BA2BB4" w:rsidRPr="004B0D41" w:rsidRDefault="00BA2BB4" w:rsidP="001219B9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eastAsia="Times New Roman" w:hAnsi="Times New Roman"/>
      </w:rPr>
    </w:pPr>
    <w:r w:rsidRPr="004B0D41">
      <w:rPr>
        <w:rFonts w:ascii="Times New Roman" w:eastAsia="Times New Roman" w:hAnsi="Times New Roman"/>
      </w:rPr>
      <w:t xml:space="preserve">Relacion shpjegues për </w:t>
    </w:r>
    <w:r w:rsidR="004B0D41" w:rsidRPr="004B0D41">
      <w:rPr>
        <w:rFonts w:ascii="Times New Roman" w:hAnsi="Times New Roman"/>
        <w:lang w:val="sq-AL" w:eastAsia="zh-CN"/>
      </w:rPr>
      <w:t>projektligjin “</w:t>
    </w:r>
    <w:r w:rsidR="007E37E1" w:rsidRPr="005D6369">
      <w:rPr>
        <w:rFonts w:ascii="Times New Roman" w:hAnsi="Times New Roman"/>
        <w:sz w:val="24"/>
        <w:szCs w:val="24"/>
        <w:lang w:val="sq-AL"/>
      </w:rPr>
      <w:t>Për raportimin e pagesave ndërkufitare dhe krijimin e sistemit elektronik të informacionit mbi këto pagesa</w:t>
    </w:r>
    <w:r w:rsidR="004B0D41" w:rsidRPr="004B0D41">
      <w:rPr>
        <w:rFonts w:ascii="Times New Roman" w:hAnsi="Times New Roman"/>
        <w:lang w:val="sq-AL" w:eastAsia="zh-CN"/>
      </w:rPr>
      <w:t>”</w:t>
    </w:r>
    <w:r w:rsidR="00C5304A">
      <w:rPr>
        <w:rFonts w:ascii="Times New Roman" w:hAnsi="Times New Roman"/>
        <w:lang w:val="sq-AL" w:eastAsia="zh-CN"/>
      </w:rPr>
      <w:t>.</w:t>
    </w:r>
    <w:r w:rsidRPr="004B0D41">
      <w:rPr>
        <w:rFonts w:ascii="Times New Roman" w:eastAsia="Times New Roman" w:hAnsi="Times New Roman"/>
      </w:rPr>
      <w:tab/>
    </w:r>
  </w:p>
  <w:p w14:paraId="287886B7" w14:textId="77777777" w:rsidR="00BA2BB4" w:rsidRDefault="00BA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CA04" w14:textId="77777777" w:rsidR="000D725B" w:rsidRDefault="000D725B" w:rsidP="00BA2BB4">
      <w:pPr>
        <w:spacing w:after="0" w:line="240" w:lineRule="auto"/>
      </w:pPr>
      <w:r>
        <w:separator/>
      </w:r>
    </w:p>
  </w:footnote>
  <w:footnote w:type="continuationSeparator" w:id="0">
    <w:p w14:paraId="35F6E435" w14:textId="77777777" w:rsidR="000D725B" w:rsidRDefault="000D725B" w:rsidP="00BA2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856"/>
    <w:multiLevelType w:val="hybridMultilevel"/>
    <w:tmpl w:val="05EED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92CE6"/>
    <w:multiLevelType w:val="hybridMultilevel"/>
    <w:tmpl w:val="E2F4324A"/>
    <w:lvl w:ilvl="0" w:tplc="D6340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0570"/>
    <w:multiLevelType w:val="hybridMultilevel"/>
    <w:tmpl w:val="5BAC6A30"/>
    <w:lvl w:ilvl="0" w:tplc="2568682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233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" w15:restartNumberingAfterBreak="0">
    <w:nsid w:val="27B32A8F"/>
    <w:multiLevelType w:val="hybridMultilevel"/>
    <w:tmpl w:val="5830C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923BD"/>
    <w:multiLevelType w:val="hybridMultilevel"/>
    <w:tmpl w:val="196A7176"/>
    <w:lvl w:ilvl="0" w:tplc="B31EF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2414"/>
    <w:multiLevelType w:val="hybridMultilevel"/>
    <w:tmpl w:val="8CCE6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907FD"/>
    <w:multiLevelType w:val="hybridMultilevel"/>
    <w:tmpl w:val="05AE6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0217A"/>
    <w:multiLevelType w:val="hybridMultilevel"/>
    <w:tmpl w:val="571E6EF2"/>
    <w:lvl w:ilvl="0" w:tplc="CC1854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23813"/>
    <w:multiLevelType w:val="hybridMultilevel"/>
    <w:tmpl w:val="CFA6B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4706">
    <w:abstractNumId w:val="3"/>
  </w:num>
  <w:num w:numId="2" w16cid:durableId="473302149">
    <w:abstractNumId w:val="1"/>
  </w:num>
  <w:num w:numId="3" w16cid:durableId="909655737">
    <w:abstractNumId w:val="0"/>
  </w:num>
  <w:num w:numId="4" w16cid:durableId="1003436574">
    <w:abstractNumId w:val="7"/>
  </w:num>
  <w:num w:numId="5" w16cid:durableId="587889916">
    <w:abstractNumId w:val="4"/>
  </w:num>
  <w:num w:numId="6" w16cid:durableId="420957768">
    <w:abstractNumId w:val="8"/>
  </w:num>
  <w:num w:numId="7" w16cid:durableId="413211833">
    <w:abstractNumId w:val="2"/>
  </w:num>
  <w:num w:numId="8" w16cid:durableId="1814716854">
    <w:abstractNumId w:val="6"/>
  </w:num>
  <w:num w:numId="9" w16cid:durableId="1027097987">
    <w:abstractNumId w:val="9"/>
  </w:num>
  <w:num w:numId="10" w16cid:durableId="154436957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01738"/>
    <w:rsid w:val="00006BA8"/>
    <w:rsid w:val="00010255"/>
    <w:rsid w:val="00010D4E"/>
    <w:rsid w:val="0001479A"/>
    <w:rsid w:val="00017B71"/>
    <w:rsid w:val="0002052F"/>
    <w:rsid w:val="00023CDB"/>
    <w:rsid w:val="0002739E"/>
    <w:rsid w:val="00030FA5"/>
    <w:rsid w:val="000341D9"/>
    <w:rsid w:val="00035C3E"/>
    <w:rsid w:val="0004047C"/>
    <w:rsid w:val="00065CC8"/>
    <w:rsid w:val="00072AF2"/>
    <w:rsid w:val="0007328A"/>
    <w:rsid w:val="00073319"/>
    <w:rsid w:val="000A5E4A"/>
    <w:rsid w:val="000A694A"/>
    <w:rsid w:val="000B659A"/>
    <w:rsid w:val="000C0368"/>
    <w:rsid w:val="000C3561"/>
    <w:rsid w:val="000C700D"/>
    <w:rsid w:val="000C70C0"/>
    <w:rsid w:val="000D22C4"/>
    <w:rsid w:val="000D4106"/>
    <w:rsid w:val="000D6959"/>
    <w:rsid w:val="000D725B"/>
    <w:rsid w:val="000E01A1"/>
    <w:rsid w:val="000F04C0"/>
    <w:rsid w:val="000F3E4E"/>
    <w:rsid w:val="000F4A07"/>
    <w:rsid w:val="00100ED5"/>
    <w:rsid w:val="001070D0"/>
    <w:rsid w:val="00114D95"/>
    <w:rsid w:val="0011552C"/>
    <w:rsid w:val="00121416"/>
    <w:rsid w:val="001219B9"/>
    <w:rsid w:val="0013254C"/>
    <w:rsid w:val="00134493"/>
    <w:rsid w:val="00135660"/>
    <w:rsid w:val="001423B9"/>
    <w:rsid w:val="00143952"/>
    <w:rsid w:val="001453E3"/>
    <w:rsid w:val="00151A31"/>
    <w:rsid w:val="00155AAD"/>
    <w:rsid w:val="00155EF4"/>
    <w:rsid w:val="0015770F"/>
    <w:rsid w:val="00165EB0"/>
    <w:rsid w:val="00166E02"/>
    <w:rsid w:val="001670C0"/>
    <w:rsid w:val="00192CB8"/>
    <w:rsid w:val="001933CD"/>
    <w:rsid w:val="001940CE"/>
    <w:rsid w:val="00196673"/>
    <w:rsid w:val="001B4230"/>
    <w:rsid w:val="001B4C93"/>
    <w:rsid w:val="001C19DE"/>
    <w:rsid w:val="001C1EEE"/>
    <w:rsid w:val="001C3BAB"/>
    <w:rsid w:val="001C7DA6"/>
    <w:rsid w:val="001D41CE"/>
    <w:rsid w:val="001E4164"/>
    <w:rsid w:val="001E4AFF"/>
    <w:rsid w:val="001E7E0A"/>
    <w:rsid w:val="001F039D"/>
    <w:rsid w:val="00201ABD"/>
    <w:rsid w:val="002052C1"/>
    <w:rsid w:val="002059C6"/>
    <w:rsid w:val="00210815"/>
    <w:rsid w:val="00214107"/>
    <w:rsid w:val="00214108"/>
    <w:rsid w:val="00220E06"/>
    <w:rsid w:val="002223C8"/>
    <w:rsid w:val="00222CA1"/>
    <w:rsid w:val="002270DB"/>
    <w:rsid w:val="00230F59"/>
    <w:rsid w:val="00235ECF"/>
    <w:rsid w:val="00240165"/>
    <w:rsid w:val="002424D0"/>
    <w:rsid w:val="00257748"/>
    <w:rsid w:val="00261BA8"/>
    <w:rsid w:val="00262124"/>
    <w:rsid w:val="002648BD"/>
    <w:rsid w:val="00266296"/>
    <w:rsid w:val="002745F5"/>
    <w:rsid w:val="00276D3C"/>
    <w:rsid w:val="002810E0"/>
    <w:rsid w:val="00281C25"/>
    <w:rsid w:val="00281FA5"/>
    <w:rsid w:val="002869F0"/>
    <w:rsid w:val="00295FCC"/>
    <w:rsid w:val="002A5834"/>
    <w:rsid w:val="002A7D21"/>
    <w:rsid w:val="002C59B9"/>
    <w:rsid w:val="002C645A"/>
    <w:rsid w:val="002D0BCF"/>
    <w:rsid w:val="002E0625"/>
    <w:rsid w:val="002E583D"/>
    <w:rsid w:val="002F3DC2"/>
    <w:rsid w:val="002F6E48"/>
    <w:rsid w:val="003021AF"/>
    <w:rsid w:val="003044EE"/>
    <w:rsid w:val="00306288"/>
    <w:rsid w:val="00310EE5"/>
    <w:rsid w:val="00317478"/>
    <w:rsid w:val="00320E35"/>
    <w:rsid w:val="00322B48"/>
    <w:rsid w:val="00330B3F"/>
    <w:rsid w:val="00331436"/>
    <w:rsid w:val="003359E6"/>
    <w:rsid w:val="00336E00"/>
    <w:rsid w:val="003439FE"/>
    <w:rsid w:val="00347BFF"/>
    <w:rsid w:val="003535D4"/>
    <w:rsid w:val="00354ED4"/>
    <w:rsid w:val="00362037"/>
    <w:rsid w:val="0036751C"/>
    <w:rsid w:val="00372789"/>
    <w:rsid w:val="0037763D"/>
    <w:rsid w:val="00383AF3"/>
    <w:rsid w:val="00384955"/>
    <w:rsid w:val="003870E4"/>
    <w:rsid w:val="00396EAD"/>
    <w:rsid w:val="003A2370"/>
    <w:rsid w:val="003A4E21"/>
    <w:rsid w:val="003A78AE"/>
    <w:rsid w:val="003B2298"/>
    <w:rsid w:val="003B3F1B"/>
    <w:rsid w:val="003B5DB7"/>
    <w:rsid w:val="003C034E"/>
    <w:rsid w:val="003C3783"/>
    <w:rsid w:val="003C7D36"/>
    <w:rsid w:val="003D687D"/>
    <w:rsid w:val="003E3A8E"/>
    <w:rsid w:val="003E561F"/>
    <w:rsid w:val="003F2FCC"/>
    <w:rsid w:val="003F74EE"/>
    <w:rsid w:val="0040152C"/>
    <w:rsid w:val="004028CF"/>
    <w:rsid w:val="00403055"/>
    <w:rsid w:val="00403C2C"/>
    <w:rsid w:val="0040622F"/>
    <w:rsid w:val="0041579C"/>
    <w:rsid w:val="004169EE"/>
    <w:rsid w:val="00417A02"/>
    <w:rsid w:val="00425A54"/>
    <w:rsid w:val="0043027C"/>
    <w:rsid w:val="00435B66"/>
    <w:rsid w:val="0045448A"/>
    <w:rsid w:val="00461E35"/>
    <w:rsid w:val="004670CB"/>
    <w:rsid w:val="00473AD3"/>
    <w:rsid w:val="0047691D"/>
    <w:rsid w:val="004776EC"/>
    <w:rsid w:val="00490974"/>
    <w:rsid w:val="00496A7D"/>
    <w:rsid w:val="004A36BB"/>
    <w:rsid w:val="004A4CE2"/>
    <w:rsid w:val="004A5788"/>
    <w:rsid w:val="004A5D9E"/>
    <w:rsid w:val="004A6342"/>
    <w:rsid w:val="004A64AD"/>
    <w:rsid w:val="004B0D41"/>
    <w:rsid w:val="004B2C27"/>
    <w:rsid w:val="004B76EE"/>
    <w:rsid w:val="004C7BEE"/>
    <w:rsid w:val="004D0A5D"/>
    <w:rsid w:val="004D0ACC"/>
    <w:rsid w:val="004D0C3B"/>
    <w:rsid w:val="004F0B21"/>
    <w:rsid w:val="004F2E8E"/>
    <w:rsid w:val="00501256"/>
    <w:rsid w:val="005017B8"/>
    <w:rsid w:val="00520704"/>
    <w:rsid w:val="0052126C"/>
    <w:rsid w:val="00521DA6"/>
    <w:rsid w:val="0052414B"/>
    <w:rsid w:val="005274B5"/>
    <w:rsid w:val="0053535E"/>
    <w:rsid w:val="00535FFC"/>
    <w:rsid w:val="00541008"/>
    <w:rsid w:val="005741BE"/>
    <w:rsid w:val="005816B7"/>
    <w:rsid w:val="005838B9"/>
    <w:rsid w:val="00586D1E"/>
    <w:rsid w:val="00591F2F"/>
    <w:rsid w:val="00593599"/>
    <w:rsid w:val="00596458"/>
    <w:rsid w:val="005975EA"/>
    <w:rsid w:val="00597F67"/>
    <w:rsid w:val="005A1873"/>
    <w:rsid w:val="005A6B66"/>
    <w:rsid w:val="005B6100"/>
    <w:rsid w:val="005B75AA"/>
    <w:rsid w:val="005C23A3"/>
    <w:rsid w:val="005C4495"/>
    <w:rsid w:val="005C72D4"/>
    <w:rsid w:val="005D03BF"/>
    <w:rsid w:val="005E027D"/>
    <w:rsid w:val="005E488E"/>
    <w:rsid w:val="005E639A"/>
    <w:rsid w:val="005E7FDF"/>
    <w:rsid w:val="005F248F"/>
    <w:rsid w:val="005F4D8D"/>
    <w:rsid w:val="005F6A03"/>
    <w:rsid w:val="0060070B"/>
    <w:rsid w:val="00601B2C"/>
    <w:rsid w:val="00610F15"/>
    <w:rsid w:val="00612891"/>
    <w:rsid w:val="0061519F"/>
    <w:rsid w:val="00615D63"/>
    <w:rsid w:val="00621074"/>
    <w:rsid w:val="0062211F"/>
    <w:rsid w:val="006236D7"/>
    <w:rsid w:val="00624E79"/>
    <w:rsid w:val="006251A3"/>
    <w:rsid w:val="00630849"/>
    <w:rsid w:val="006408F2"/>
    <w:rsid w:val="00650408"/>
    <w:rsid w:val="00651BC6"/>
    <w:rsid w:val="006578A0"/>
    <w:rsid w:val="00661FAA"/>
    <w:rsid w:val="00663182"/>
    <w:rsid w:val="006758C5"/>
    <w:rsid w:val="0067756B"/>
    <w:rsid w:val="00680432"/>
    <w:rsid w:val="006900A6"/>
    <w:rsid w:val="00695855"/>
    <w:rsid w:val="00697273"/>
    <w:rsid w:val="00697FC3"/>
    <w:rsid w:val="006A0F72"/>
    <w:rsid w:val="006A4401"/>
    <w:rsid w:val="006B5457"/>
    <w:rsid w:val="006C49AE"/>
    <w:rsid w:val="006C590E"/>
    <w:rsid w:val="006D050C"/>
    <w:rsid w:val="006D1A7E"/>
    <w:rsid w:val="006D430D"/>
    <w:rsid w:val="006D5631"/>
    <w:rsid w:val="006D5A8A"/>
    <w:rsid w:val="006D78C0"/>
    <w:rsid w:val="006E05AA"/>
    <w:rsid w:val="006E66C5"/>
    <w:rsid w:val="006F211F"/>
    <w:rsid w:val="006F754B"/>
    <w:rsid w:val="006F7E0E"/>
    <w:rsid w:val="00706349"/>
    <w:rsid w:val="007110C3"/>
    <w:rsid w:val="007117BF"/>
    <w:rsid w:val="00715C8C"/>
    <w:rsid w:val="00722CAA"/>
    <w:rsid w:val="0072503D"/>
    <w:rsid w:val="007309A1"/>
    <w:rsid w:val="007406C0"/>
    <w:rsid w:val="00744E1F"/>
    <w:rsid w:val="0074575C"/>
    <w:rsid w:val="00746FA4"/>
    <w:rsid w:val="00750DBA"/>
    <w:rsid w:val="00753F2C"/>
    <w:rsid w:val="00756705"/>
    <w:rsid w:val="00762ED3"/>
    <w:rsid w:val="00764490"/>
    <w:rsid w:val="00766E67"/>
    <w:rsid w:val="00774BC5"/>
    <w:rsid w:val="007765F0"/>
    <w:rsid w:val="00785A70"/>
    <w:rsid w:val="007865DB"/>
    <w:rsid w:val="00795068"/>
    <w:rsid w:val="00795F14"/>
    <w:rsid w:val="00797E18"/>
    <w:rsid w:val="007A2AAE"/>
    <w:rsid w:val="007A2E2D"/>
    <w:rsid w:val="007A5DC2"/>
    <w:rsid w:val="007A6ECF"/>
    <w:rsid w:val="007B35B8"/>
    <w:rsid w:val="007B37A8"/>
    <w:rsid w:val="007B3F7C"/>
    <w:rsid w:val="007C5CE7"/>
    <w:rsid w:val="007C63D0"/>
    <w:rsid w:val="007D0133"/>
    <w:rsid w:val="007D50F0"/>
    <w:rsid w:val="007E0620"/>
    <w:rsid w:val="007E3326"/>
    <w:rsid w:val="007E37E1"/>
    <w:rsid w:val="007E4A2C"/>
    <w:rsid w:val="007E6F51"/>
    <w:rsid w:val="007F09B1"/>
    <w:rsid w:val="007F3EE2"/>
    <w:rsid w:val="007F5088"/>
    <w:rsid w:val="008011FE"/>
    <w:rsid w:val="0081491B"/>
    <w:rsid w:val="00817D64"/>
    <w:rsid w:val="00823174"/>
    <w:rsid w:val="00825D6A"/>
    <w:rsid w:val="008315A9"/>
    <w:rsid w:val="00835CD8"/>
    <w:rsid w:val="00841AE8"/>
    <w:rsid w:val="0084637F"/>
    <w:rsid w:val="008504EF"/>
    <w:rsid w:val="00857698"/>
    <w:rsid w:val="00862938"/>
    <w:rsid w:val="00864E5E"/>
    <w:rsid w:val="00864EF0"/>
    <w:rsid w:val="0086633F"/>
    <w:rsid w:val="00873AAA"/>
    <w:rsid w:val="00874386"/>
    <w:rsid w:val="00875532"/>
    <w:rsid w:val="00886A52"/>
    <w:rsid w:val="00887A38"/>
    <w:rsid w:val="0089107C"/>
    <w:rsid w:val="008A2157"/>
    <w:rsid w:val="008A59AD"/>
    <w:rsid w:val="008B0290"/>
    <w:rsid w:val="008B51EC"/>
    <w:rsid w:val="008B7527"/>
    <w:rsid w:val="008C04B3"/>
    <w:rsid w:val="008C5A47"/>
    <w:rsid w:val="008D6987"/>
    <w:rsid w:val="008E5104"/>
    <w:rsid w:val="008E6F0D"/>
    <w:rsid w:val="008E74B0"/>
    <w:rsid w:val="008F2D1E"/>
    <w:rsid w:val="00902C6F"/>
    <w:rsid w:val="00903455"/>
    <w:rsid w:val="009039F6"/>
    <w:rsid w:val="00906BD5"/>
    <w:rsid w:val="00911CD4"/>
    <w:rsid w:val="00920C36"/>
    <w:rsid w:val="0092107F"/>
    <w:rsid w:val="00937616"/>
    <w:rsid w:val="0094109F"/>
    <w:rsid w:val="00953457"/>
    <w:rsid w:val="00953728"/>
    <w:rsid w:val="0097049A"/>
    <w:rsid w:val="00971C75"/>
    <w:rsid w:val="00977965"/>
    <w:rsid w:val="00980C8F"/>
    <w:rsid w:val="00981DCC"/>
    <w:rsid w:val="009845CF"/>
    <w:rsid w:val="00990FF2"/>
    <w:rsid w:val="009931AA"/>
    <w:rsid w:val="00993A7D"/>
    <w:rsid w:val="00994AD6"/>
    <w:rsid w:val="00995BA1"/>
    <w:rsid w:val="009962FF"/>
    <w:rsid w:val="00996C4A"/>
    <w:rsid w:val="009A2022"/>
    <w:rsid w:val="009A21A1"/>
    <w:rsid w:val="009A2544"/>
    <w:rsid w:val="009A2BEE"/>
    <w:rsid w:val="009A5FD0"/>
    <w:rsid w:val="009C04F9"/>
    <w:rsid w:val="009C3154"/>
    <w:rsid w:val="009C3C43"/>
    <w:rsid w:val="009C44BE"/>
    <w:rsid w:val="009D45DB"/>
    <w:rsid w:val="009D6B3B"/>
    <w:rsid w:val="009E2159"/>
    <w:rsid w:val="009E7EE0"/>
    <w:rsid w:val="009F25AE"/>
    <w:rsid w:val="009F6379"/>
    <w:rsid w:val="00A012FA"/>
    <w:rsid w:val="00A05A9A"/>
    <w:rsid w:val="00A16627"/>
    <w:rsid w:val="00A168B2"/>
    <w:rsid w:val="00A250A6"/>
    <w:rsid w:val="00A25348"/>
    <w:rsid w:val="00A3104D"/>
    <w:rsid w:val="00A3253C"/>
    <w:rsid w:val="00A33EBB"/>
    <w:rsid w:val="00A34CEE"/>
    <w:rsid w:val="00A378E1"/>
    <w:rsid w:val="00A5683A"/>
    <w:rsid w:val="00A56A48"/>
    <w:rsid w:val="00A74161"/>
    <w:rsid w:val="00A84D64"/>
    <w:rsid w:val="00A93E91"/>
    <w:rsid w:val="00A951D7"/>
    <w:rsid w:val="00AA31FF"/>
    <w:rsid w:val="00AA37DC"/>
    <w:rsid w:val="00AA3E50"/>
    <w:rsid w:val="00AB0E78"/>
    <w:rsid w:val="00AB3275"/>
    <w:rsid w:val="00AB4F8B"/>
    <w:rsid w:val="00AB7DDD"/>
    <w:rsid w:val="00AC20BB"/>
    <w:rsid w:val="00AD32E1"/>
    <w:rsid w:val="00AD3407"/>
    <w:rsid w:val="00AD487E"/>
    <w:rsid w:val="00AD5D1B"/>
    <w:rsid w:val="00AE1FE9"/>
    <w:rsid w:val="00AE2E67"/>
    <w:rsid w:val="00AE5BE2"/>
    <w:rsid w:val="00AE63F0"/>
    <w:rsid w:val="00AE6ECF"/>
    <w:rsid w:val="00AF2BE8"/>
    <w:rsid w:val="00AF6D8E"/>
    <w:rsid w:val="00B01B7A"/>
    <w:rsid w:val="00B03068"/>
    <w:rsid w:val="00B05DF2"/>
    <w:rsid w:val="00B36EE1"/>
    <w:rsid w:val="00B47C74"/>
    <w:rsid w:val="00B50160"/>
    <w:rsid w:val="00B525F3"/>
    <w:rsid w:val="00B52B2F"/>
    <w:rsid w:val="00B74522"/>
    <w:rsid w:val="00B762CC"/>
    <w:rsid w:val="00B800C7"/>
    <w:rsid w:val="00B84A42"/>
    <w:rsid w:val="00B8683C"/>
    <w:rsid w:val="00B86911"/>
    <w:rsid w:val="00B922E7"/>
    <w:rsid w:val="00B9549E"/>
    <w:rsid w:val="00B95EF0"/>
    <w:rsid w:val="00BA2BB4"/>
    <w:rsid w:val="00BA3046"/>
    <w:rsid w:val="00BA5FED"/>
    <w:rsid w:val="00BB224D"/>
    <w:rsid w:val="00BC3209"/>
    <w:rsid w:val="00BE76FC"/>
    <w:rsid w:val="00BF20D7"/>
    <w:rsid w:val="00BF2145"/>
    <w:rsid w:val="00BF322D"/>
    <w:rsid w:val="00BF3C0A"/>
    <w:rsid w:val="00BF3CDF"/>
    <w:rsid w:val="00C105B6"/>
    <w:rsid w:val="00C1125C"/>
    <w:rsid w:val="00C13F16"/>
    <w:rsid w:val="00C169F2"/>
    <w:rsid w:val="00C346BE"/>
    <w:rsid w:val="00C3571F"/>
    <w:rsid w:val="00C5304A"/>
    <w:rsid w:val="00C559A0"/>
    <w:rsid w:val="00C649F4"/>
    <w:rsid w:val="00C847F0"/>
    <w:rsid w:val="00C93A12"/>
    <w:rsid w:val="00C949BE"/>
    <w:rsid w:val="00CA5950"/>
    <w:rsid w:val="00CB03BA"/>
    <w:rsid w:val="00CB0F22"/>
    <w:rsid w:val="00CB17BB"/>
    <w:rsid w:val="00CB5666"/>
    <w:rsid w:val="00CC34BD"/>
    <w:rsid w:val="00CC46DB"/>
    <w:rsid w:val="00CC6306"/>
    <w:rsid w:val="00CD45AF"/>
    <w:rsid w:val="00CF0ADF"/>
    <w:rsid w:val="00D013AF"/>
    <w:rsid w:val="00D02153"/>
    <w:rsid w:val="00D04933"/>
    <w:rsid w:val="00D22313"/>
    <w:rsid w:val="00D37B53"/>
    <w:rsid w:val="00D428F0"/>
    <w:rsid w:val="00D533FC"/>
    <w:rsid w:val="00D54E01"/>
    <w:rsid w:val="00D62C06"/>
    <w:rsid w:val="00D67174"/>
    <w:rsid w:val="00D70BBE"/>
    <w:rsid w:val="00D71276"/>
    <w:rsid w:val="00D7211B"/>
    <w:rsid w:val="00D73F88"/>
    <w:rsid w:val="00D75FE2"/>
    <w:rsid w:val="00D80EA7"/>
    <w:rsid w:val="00D81CE5"/>
    <w:rsid w:val="00D8210F"/>
    <w:rsid w:val="00D85D61"/>
    <w:rsid w:val="00D86476"/>
    <w:rsid w:val="00D908CA"/>
    <w:rsid w:val="00D92738"/>
    <w:rsid w:val="00D9320A"/>
    <w:rsid w:val="00D964FA"/>
    <w:rsid w:val="00DA71D2"/>
    <w:rsid w:val="00DB5138"/>
    <w:rsid w:val="00DC0B5B"/>
    <w:rsid w:val="00DC372C"/>
    <w:rsid w:val="00DD529E"/>
    <w:rsid w:val="00DE020E"/>
    <w:rsid w:val="00DE02D2"/>
    <w:rsid w:val="00DE34C9"/>
    <w:rsid w:val="00DF14B4"/>
    <w:rsid w:val="00E0342F"/>
    <w:rsid w:val="00E05A13"/>
    <w:rsid w:val="00E10263"/>
    <w:rsid w:val="00E1389D"/>
    <w:rsid w:val="00E16896"/>
    <w:rsid w:val="00E16C1A"/>
    <w:rsid w:val="00E20D56"/>
    <w:rsid w:val="00E2280F"/>
    <w:rsid w:val="00E256FC"/>
    <w:rsid w:val="00E574DB"/>
    <w:rsid w:val="00E61BB4"/>
    <w:rsid w:val="00E75F07"/>
    <w:rsid w:val="00E77C03"/>
    <w:rsid w:val="00E8284A"/>
    <w:rsid w:val="00E84A71"/>
    <w:rsid w:val="00E8552A"/>
    <w:rsid w:val="00E857CB"/>
    <w:rsid w:val="00E91815"/>
    <w:rsid w:val="00EA1350"/>
    <w:rsid w:val="00EB5601"/>
    <w:rsid w:val="00EC77A6"/>
    <w:rsid w:val="00EC7B95"/>
    <w:rsid w:val="00ED2B53"/>
    <w:rsid w:val="00ED740D"/>
    <w:rsid w:val="00EE1258"/>
    <w:rsid w:val="00EE1C11"/>
    <w:rsid w:val="00EF03E4"/>
    <w:rsid w:val="00EF3F20"/>
    <w:rsid w:val="00EF4371"/>
    <w:rsid w:val="00EF734D"/>
    <w:rsid w:val="00F06777"/>
    <w:rsid w:val="00F10EE3"/>
    <w:rsid w:val="00F11B42"/>
    <w:rsid w:val="00F3044C"/>
    <w:rsid w:val="00F53176"/>
    <w:rsid w:val="00F830C8"/>
    <w:rsid w:val="00F84308"/>
    <w:rsid w:val="00F85711"/>
    <w:rsid w:val="00F94873"/>
    <w:rsid w:val="00F97B8E"/>
    <w:rsid w:val="00F97E09"/>
    <w:rsid w:val="00FA0852"/>
    <w:rsid w:val="00FA6166"/>
    <w:rsid w:val="00FB06D1"/>
    <w:rsid w:val="00FB516C"/>
    <w:rsid w:val="00FC125A"/>
    <w:rsid w:val="00FC2EB6"/>
    <w:rsid w:val="00FC7C23"/>
    <w:rsid w:val="00FD1AC6"/>
    <w:rsid w:val="00FD3ADB"/>
    <w:rsid w:val="00FE0F58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D0778"/>
  <w15:docId w15:val="{17CC2136-5EF0-405B-B465-4D17CA5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3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E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A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3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1,List Paragraph (numbered (a)),List Paragraph 1,Akapit z listą BS,Bullets,List Paragraph1,Bullet1,NumberedParas,Dot pt,F5 List Paragraph,List Paragraph Char Char Char,Indicator Text,Numbered Para 1,Bullet 1,Bullet Points,Graphic,L"/>
    <w:basedOn w:val="Normal"/>
    <w:link w:val="ListParagraphChar"/>
    <w:uiPriority w:val="34"/>
    <w:qFormat/>
    <w:rsid w:val="001E1005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B0D4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4B0D41"/>
    <w:rPr>
      <w:rFonts w:ascii="Cambria" w:eastAsia="Times New Roman" w:hAnsi="Cambria"/>
      <w:sz w:val="24"/>
      <w:szCs w:val="24"/>
    </w:rPr>
  </w:style>
  <w:style w:type="paragraph" w:styleId="Title">
    <w:name w:val="Title"/>
    <w:basedOn w:val="Normal"/>
    <w:link w:val="TitleChar"/>
    <w:qFormat/>
    <w:rsid w:val="004B0D41"/>
    <w:pPr>
      <w:widowControl w:val="0"/>
      <w:tabs>
        <w:tab w:val="left" w:pos="11199"/>
      </w:tabs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link w:val="Title"/>
    <w:rsid w:val="004B0D41"/>
    <w:rPr>
      <w:rFonts w:ascii="Arial" w:eastAsia="Times New Roman" w:hAnsi="Arial" w:cs="Arial"/>
      <w:b/>
      <w:bCs/>
      <w:szCs w:val="24"/>
    </w:rPr>
  </w:style>
  <w:style w:type="paragraph" w:customStyle="1" w:styleId="Default">
    <w:name w:val="Default"/>
    <w:rsid w:val="004B0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4B0D41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0F04C0"/>
    <w:pPr>
      <w:spacing w:after="120"/>
    </w:pPr>
  </w:style>
  <w:style w:type="character" w:customStyle="1" w:styleId="BodyTextChar">
    <w:name w:val="Body Text Char"/>
    <w:link w:val="BodyText"/>
    <w:uiPriority w:val="99"/>
    <w:rsid w:val="000F04C0"/>
    <w:rPr>
      <w:sz w:val="22"/>
      <w:szCs w:val="22"/>
    </w:rPr>
  </w:style>
  <w:style w:type="character" w:customStyle="1" w:styleId="Heading1Char">
    <w:name w:val="Heading 1 Char"/>
    <w:link w:val="Heading1"/>
    <w:rsid w:val="00624E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6F7E0E"/>
    <w:rPr>
      <w:rFonts w:ascii="Garamond" w:hAnsi="Garamond" w:hint="default"/>
      <w:b w:val="0"/>
      <w:bCs w:val="0"/>
      <w:i w:val="0"/>
      <w:iCs w:val="0"/>
      <w:color w:val="FF00F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85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3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C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5C3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5C3E"/>
    <w:rPr>
      <w:b/>
      <w:bCs/>
      <w:lang w:val="en-US" w:eastAsia="en-US"/>
    </w:rPr>
  </w:style>
  <w:style w:type="character" w:customStyle="1" w:styleId="jlqj4b">
    <w:name w:val="jlqj4b"/>
    <w:rsid w:val="004A5D9E"/>
  </w:style>
  <w:style w:type="paragraph" w:styleId="HTMLPreformatted">
    <w:name w:val="HTML Preformatted"/>
    <w:basedOn w:val="Normal"/>
    <w:link w:val="HTMLPreformattedChar"/>
    <w:uiPriority w:val="99"/>
    <w:unhideWhenUsed/>
    <w:rsid w:val="005C7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C72D4"/>
    <w:rPr>
      <w:rFonts w:ascii="Courier New" w:eastAsia="Times New Roman" w:hAnsi="Courier New" w:cs="Courier New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Revision">
    <w:name w:val="Revision"/>
    <w:hidden/>
    <w:uiPriority w:val="99"/>
    <w:semiHidden/>
    <w:rsid w:val="00EF4371"/>
    <w:rPr>
      <w:sz w:val="22"/>
      <w:szCs w:val="22"/>
      <w:lang w:val="en-US" w:eastAsia="en-US"/>
    </w:rPr>
  </w:style>
  <w:style w:type="paragraph" w:customStyle="1" w:styleId="pf0">
    <w:name w:val="pf0"/>
    <w:basedOn w:val="Normal"/>
    <w:rsid w:val="00343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3439FE"/>
    <w:rPr>
      <w:rFonts w:ascii="Segoe UI" w:hAnsi="Segoe UI" w:cs="Segoe UI" w:hint="default"/>
      <w:sz w:val="18"/>
      <w:szCs w:val="18"/>
    </w:rPr>
  </w:style>
  <w:style w:type="paragraph" w:customStyle="1" w:styleId="Paragrafi">
    <w:name w:val="Paragrafi"/>
    <w:link w:val="ParagrafiChar"/>
    <w:rsid w:val="00680432"/>
    <w:pPr>
      <w:widowControl w:val="0"/>
      <w:ind w:firstLine="284"/>
      <w:jc w:val="both"/>
    </w:pPr>
    <w:rPr>
      <w:rFonts w:ascii="Garamond" w:hAnsi="Garamond" w:cs="CG Times"/>
      <w:sz w:val="24"/>
      <w:szCs w:val="22"/>
      <w:lang w:val="en-US" w:eastAsia="en-US"/>
    </w:rPr>
  </w:style>
  <w:style w:type="character" w:customStyle="1" w:styleId="ParagrafiChar">
    <w:name w:val="Paragrafi Char"/>
    <w:basedOn w:val="DefaultParagraphFont"/>
    <w:link w:val="Paragrafi"/>
    <w:locked/>
    <w:rsid w:val="00680432"/>
    <w:rPr>
      <w:rFonts w:ascii="Garamond" w:hAnsi="Garamond" w:cs="CG Times"/>
      <w:sz w:val="24"/>
      <w:szCs w:val="22"/>
      <w:lang w:val="en-US" w:eastAsia="en-US"/>
    </w:rPr>
  </w:style>
  <w:style w:type="table" w:styleId="PlainTable1">
    <w:name w:val="Plain Table 1"/>
    <w:basedOn w:val="TableNormal"/>
    <w:uiPriority w:val="41"/>
    <w:rsid w:val="00A168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E05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8874/9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B9E22E7547CB14980283516BA1F369C" ma:contentTypeVersion="" ma:contentTypeDescription="" ma:contentTypeScope="" ma:versionID="df5295f64504bd89c457588c531a2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D5967F-CE68-4099-94F0-84B488BCE6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E1693-C395-472C-B257-FFF7242575A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D3BBAE-67C8-4556-8520-F8B033E2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A7756-0CE9-4321-A99D-6DF7CAF2FDC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creator>Ilirjana Nano</dc:creator>
  <cp:lastModifiedBy>Hatixhe Demaj</cp:lastModifiedBy>
  <cp:revision>5</cp:revision>
  <cp:lastPrinted>2025-10-31T10:59:00Z</cp:lastPrinted>
  <dcterms:created xsi:type="dcterms:W3CDTF">2026-06-04T13:07:00Z</dcterms:created>
  <dcterms:modified xsi:type="dcterms:W3CDTF">2026-07-15T13:15:00Z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