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B0C3F" w14:textId="75F40159" w:rsidR="00922FEB" w:rsidRPr="00036F88" w:rsidRDefault="00922FEB" w:rsidP="00036F88">
      <w:pPr>
        <w:pStyle w:val="BodyText"/>
        <w:jc w:val="center"/>
        <w:rPr>
          <w:rFonts w:ascii="Times New Roman" w:hAnsi="Times New Roman" w:cs="Times New Roman"/>
          <w:sz w:val="18"/>
          <w:szCs w:val="18"/>
          <w:lang w:val="en-US"/>
        </w:rPr>
      </w:pPr>
      <w:r w:rsidRPr="00036F88">
        <w:rPr>
          <w:rFonts w:ascii="Times New Roman" w:hAnsi="Times New Roman" w:cs="Times New Roman"/>
          <w:sz w:val="18"/>
          <w:szCs w:val="18"/>
          <w:lang w:val="en-US"/>
        </w:rPr>
        <w:t>T</w:t>
      </w:r>
      <w:r w:rsidR="00315BDA">
        <w:rPr>
          <w:rFonts w:ascii="Times New Roman" w:hAnsi="Times New Roman" w:cs="Times New Roman"/>
          <w:sz w:val="18"/>
          <w:szCs w:val="18"/>
          <w:lang w:val="en-US"/>
        </w:rPr>
        <w:t>ABELA E PËRPUTHSHMËRISË</w:t>
      </w:r>
    </w:p>
    <w:p w14:paraId="34DF4CE6" w14:textId="77777777" w:rsidR="00922FEB" w:rsidRPr="00036F88" w:rsidRDefault="00922FEB" w:rsidP="00036F88">
      <w:pPr>
        <w:spacing w:after="0" w:line="240" w:lineRule="auto"/>
        <w:rPr>
          <w:rFonts w:ascii="Times New Roman" w:eastAsia="Times New Roman" w:hAnsi="Times New Roman" w:cs="Times New Roman"/>
          <w:kern w:val="0"/>
          <w:sz w:val="18"/>
          <w:szCs w:val="18"/>
          <w14:ligatures w14:val="none"/>
        </w:rPr>
      </w:pPr>
    </w:p>
    <w:tbl>
      <w:tblPr>
        <w:tblStyle w:val="TableGrid"/>
        <w:tblW w:w="16200" w:type="dxa"/>
        <w:tblInd w:w="-1085" w:type="dxa"/>
        <w:tblLayout w:type="fixed"/>
        <w:tblLook w:val="04A0" w:firstRow="1" w:lastRow="0" w:firstColumn="1" w:lastColumn="0" w:noHBand="0" w:noVBand="1"/>
      </w:tblPr>
      <w:tblGrid>
        <w:gridCol w:w="1619"/>
        <w:gridCol w:w="4321"/>
        <w:gridCol w:w="540"/>
        <w:gridCol w:w="630"/>
        <w:gridCol w:w="4950"/>
        <w:gridCol w:w="990"/>
        <w:gridCol w:w="3150"/>
      </w:tblGrid>
      <w:tr w:rsidR="00260632" w:rsidRPr="00036F88" w14:paraId="61092F5B" w14:textId="77777777" w:rsidTr="007D044B">
        <w:trPr>
          <w:tblHeader/>
        </w:trPr>
        <w:tc>
          <w:tcPr>
            <w:tcW w:w="5940" w:type="dxa"/>
            <w:gridSpan w:val="2"/>
          </w:tcPr>
          <w:p w14:paraId="2E93F0C5" w14:textId="1165C30E" w:rsidR="007D044B" w:rsidRDefault="007D044B" w:rsidP="00F6746F">
            <w:pPr>
              <w:pStyle w:val="Heading1"/>
              <w:spacing w:line="300" w:lineRule="atLeast"/>
              <w:ind w:left="720"/>
              <w:rPr>
                <w:rStyle w:val="Strong"/>
                <w:rFonts w:ascii="Times New Roman" w:hAnsi="Times New Roman" w:cs="Times New Roman"/>
                <w:b w:val="0"/>
                <w:bCs w:val="0"/>
                <w:color w:val="auto"/>
                <w:sz w:val="18"/>
                <w:szCs w:val="18"/>
              </w:rPr>
            </w:pPr>
            <w:r>
              <w:rPr>
                <w:rStyle w:val="Strong"/>
                <w:rFonts w:ascii="Times New Roman" w:hAnsi="Times New Roman" w:cs="Times New Roman"/>
                <w:b w:val="0"/>
                <w:bCs w:val="0"/>
                <w:color w:val="auto"/>
                <w:sz w:val="18"/>
                <w:szCs w:val="18"/>
              </w:rPr>
              <w:t>Legjislacioni i Bashkimit Evropian:</w:t>
            </w:r>
          </w:p>
          <w:p w14:paraId="3CB765AA" w14:textId="0597E0B3" w:rsidR="00E04602" w:rsidRPr="00E04602" w:rsidRDefault="00E04602" w:rsidP="00F6746F">
            <w:pPr>
              <w:pStyle w:val="Heading1"/>
              <w:spacing w:line="300" w:lineRule="atLeast"/>
              <w:ind w:left="720"/>
              <w:rPr>
                <w:rFonts w:ascii="Times New Roman" w:hAnsi="Times New Roman" w:cs="Times New Roman"/>
                <w:color w:val="auto"/>
                <w:sz w:val="18"/>
                <w:szCs w:val="18"/>
              </w:rPr>
            </w:pPr>
            <w:r w:rsidRPr="00E04602">
              <w:rPr>
                <w:rStyle w:val="Strong"/>
                <w:rFonts w:ascii="Times New Roman" w:hAnsi="Times New Roman" w:cs="Times New Roman"/>
                <w:b w:val="0"/>
                <w:bCs w:val="0"/>
                <w:color w:val="auto"/>
                <w:sz w:val="18"/>
                <w:szCs w:val="18"/>
              </w:rPr>
              <w:t>DIREKTIVA E KËSHILLIT (BE) 2015/2376</w:t>
            </w:r>
          </w:p>
          <w:p w14:paraId="12C38C59" w14:textId="627EBC21" w:rsidR="00E04602" w:rsidRPr="00E04602" w:rsidRDefault="00E04602" w:rsidP="00E04602">
            <w:pPr>
              <w:pStyle w:val="NormalWeb"/>
              <w:spacing w:line="300" w:lineRule="atLeast"/>
              <w:rPr>
                <w:sz w:val="18"/>
                <w:szCs w:val="18"/>
              </w:rPr>
            </w:pPr>
            <w:r w:rsidRPr="00E04602">
              <w:rPr>
                <w:rStyle w:val="Strong"/>
                <w:sz w:val="18"/>
                <w:szCs w:val="18"/>
              </w:rPr>
              <w:t>e datës 8 dhjetor 2015</w:t>
            </w:r>
            <w:r w:rsidR="009B788F">
              <w:rPr>
                <w:rStyle w:val="Strong"/>
                <w:sz w:val="18"/>
                <w:szCs w:val="18"/>
              </w:rPr>
              <w:t xml:space="preserve"> </w:t>
            </w:r>
            <w:r w:rsidRPr="00E04602">
              <w:rPr>
                <w:rStyle w:val="Strong"/>
                <w:sz w:val="18"/>
                <w:szCs w:val="18"/>
              </w:rPr>
              <w:t>që ndryshon Direktivën 2011/16/BE në lidhje me shkëmbimin automatik të detyrueshëm të informacionit në fushën e tatimeve</w:t>
            </w:r>
          </w:p>
          <w:p w14:paraId="7595DA82" w14:textId="59962CD0" w:rsidR="009D0B38" w:rsidRPr="00E04602" w:rsidRDefault="009D0B38" w:rsidP="00E04602">
            <w:pPr>
              <w:pBdr>
                <w:top w:val="nil"/>
                <w:left w:val="nil"/>
                <w:bottom w:val="nil"/>
                <w:right w:val="nil"/>
                <w:between w:val="nil"/>
              </w:pBdr>
              <w:spacing w:before="120"/>
              <w:jc w:val="both"/>
              <w:rPr>
                <w:rFonts w:ascii="Times New Roman" w:eastAsia="Calibri" w:hAnsi="Times New Roman" w:cs="Times New Roman"/>
                <w:sz w:val="18"/>
                <w:szCs w:val="18"/>
              </w:rPr>
            </w:pPr>
          </w:p>
        </w:tc>
        <w:tc>
          <w:tcPr>
            <w:tcW w:w="10260" w:type="dxa"/>
            <w:gridSpan w:val="5"/>
            <w:vAlign w:val="center"/>
          </w:tcPr>
          <w:p w14:paraId="71759903" w14:textId="1294EA83" w:rsidR="00E04602" w:rsidRPr="00E04602" w:rsidRDefault="00E04602" w:rsidP="00E04602">
            <w:pPr>
              <w:spacing w:line="300" w:lineRule="atLeast"/>
              <w:rPr>
                <w:rFonts w:ascii="Times New Roman" w:eastAsia="Times New Roman" w:hAnsi="Times New Roman" w:cs="Times New Roman"/>
                <w:sz w:val="18"/>
                <w:szCs w:val="18"/>
              </w:rPr>
            </w:pPr>
            <w:r w:rsidRPr="00E04602">
              <w:rPr>
                <w:rFonts w:ascii="Times New Roman" w:eastAsia="Times New Roman" w:hAnsi="Times New Roman" w:cs="Times New Roman"/>
                <w:sz w:val="18"/>
                <w:szCs w:val="18"/>
              </w:rPr>
              <w:t>Legjislacioni shqiptar:</w:t>
            </w:r>
          </w:p>
          <w:p w14:paraId="7ACAF46C" w14:textId="77777777" w:rsidR="00462F38" w:rsidRPr="00F6746F" w:rsidRDefault="00462F38" w:rsidP="00036F88">
            <w:pPr>
              <w:jc w:val="both"/>
              <w:rPr>
                <w:rFonts w:ascii="Times New Roman" w:eastAsia="Calibri" w:hAnsi="Times New Roman" w:cs="Times New Roman"/>
                <w:sz w:val="18"/>
                <w:szCs w:val="18"/>
              </w:rPr>
            </w:pPr>
          </w:p>
          <w:p w14:paraId="6FF890AD" w14:textId="3BC6BC62" w:rsidR="004F7895" w:rsidRPr="00F6746F" w:rsidRDefault="003C3604" w:rsidP="00F6746F">
            <w:pPr>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1. Projektligji </w:t>
            </w:r>
            <w:r w:rsidR="007A3586">
              <w:rPr>
                <w:rFonts w:ascii="Times New Roman" w:eastAsia="Calibri" w:hAnsi="Times New Roman" w:cs="Times New Roman"/>
                <w:sz w:val="18"/>
                <w:szCs w:val="18"/>
              </w:rPr>
              <w:t>”</w:t>
            </w:r>
            <w:r w:rsidR="00462F38" w:rsidRPr="00F6746F">
              <w:rPr>
                <w:rFonts w:ascii="Times New Roman" w:eastAsia="Calibri" w:hAnsi="Times New Roman" w:cs="Times New Roman"/>
                <w:kern w:val="2"/>
                <w:sz w:val="18"/>
                <w:szCs w:val="18"/>
                <w14:ligatures w14:val="standardContextual"/>
              </w:rPr>
              <w:t>Për shkëmbimin automatik të vendimeve tatimore ndërkufitare në avancë dhe marrëveshjeve të çmimit në avancë”</w:t>
            </w:r>
          </w:p>
          <w:p w14:paraId="0F7C9912" w14:textId="77777777" w:rsidR="00E04602" w:rsidRPr="00E04602" w:rsidRDefault="00E04602" w:rsidP="00E04602">
            <w:pPr>
              <w:spacing w:before="100" w:beforeAutospacing="1" w:after="100" w:afterAutospacing="1" w:line="300" w:lineRule="atLeast"/>
              <w:rPr>
                <w:rFonts w:ascii="Times New Roman" w:eastAsia="Times New Roman" w:hAnsi="Times New Roman" w:cs="Times New Roman"/>
                <w:sz w:val="18"/>
                <w:szCs w:val="18"/>
              </w:rPr>
            </w:pPr>
            <w:r w:rsidRPr="00E04602">
              <w:rPr>
                <w:rFonts w:ascii="Times New Roman" w:eastAsia="Times New Roman" w:hAnsi="Times New Roman" w:cs="Times New Roman"/>
                <w:bCs/>
                <w:sz w:val="18"/>
                <w:szCs w:val="18"/>
              </w:rPr>
              <w:t>Shkalla e përgjithshme e përafrimit me legjislacionin kombëtar:</w:t>
            </w:r>
          </w:p>
          <w:p w14:paraId="3A09031C" w14:textId="77777777" w:rsidR="00E04602" w:rsidRPr="00E04602" w:rsidRDefault="00E04602" w:rsidP="00E04602">
            <w:pPr>
              <w:numPr>
                <w:ilvl w:val="0"/>
                <w:numId w:val="44"/>
              </w:numPr>
              <w:spacing w:before="100" w:beforeAutospacing="1" w:after="100" w:afterAutospacing="1" w:line="300" w:lineRule="atLeast"/>
              <w:rPr>
                <w:rFonts w:ascii="Times New Roman" w:eastAsia="Times New Roman" w:hAnsi="Times New Roman" w:cs="Times New Roman"/>
                <w:sz w:val="18"/>
                <w:szCs w:val="18"/>
              </w:rPr>
            </w:pPr>
            <w:r w:rsidRPr="00E04602">
              <w:rPr>
                <w:rFonts w:ascii="Times New Roman" w:eastAsia="Times New Roman" w:hAnsi="Times New Roman" w:cs="Times New Roman"/>
                <w:bCs/>
                <w:sz w:val="18"/>
                <w:szCs w:val="18"/>
              </w:rPr>
              <w:t>F – përputhshmëri e plotë</w:t>
            </w:r>
          </w:p>
          <w:p w14:paraId="06C90C29" w14:textId="77777777" w:rsidR="00E04602" w:rsidRPr="00E04602" w:rsidRDefault="00E04602" w:rsidP="00E04602">
            <w:pPr>
              <w:numPr>
                <w:ilvl w:val="0"/>
                <w:numId w:val="44"/>
              </w:numPr>
              <w:spacing w:before="100" w:beforeAutospacing="1" w:after="100" w:afterAutospacing="1" w:line="300" w:lineRule="atLeast"/>
              <w:rPr>
                <w:rFonts w:ascii="Times New Roman" w:eastAsia="Times New Roman" w:hAnsi="Times New Roman" w:cs="Times New Roman"/>
                <w:sz w:val="18"/>
                <w:szCs w:val="18"/>
              </w:rPr>
            </w:pPr>
            <w:r w:rsidRPr="00E04602">
              <w:rPr>
                <w:rFonts w:ascii="Times New Roman" w:eastAsia="Times New Roman" w:hAnsi="Times New Roman" w:cs="Times New Roman"/>
                <w:bCs/>
                <w:sz w:val="18"/>
                <w:szCs w:val="18"/>
              </w:rPr>
              <w:t>P – përputhshmëri e pjesshme</w:t>
            </w:r>
          </w:p>
          <w:p w14:paraId="69E44334" w14:textId="77777777" w:rsidR="00E04602" w:rsidRPr="00E04602" w:rsidRDefault="00E04602" w:rsidP="00E04602">
            <w:pPr>
              <w:numPr>
                <w:ilvl w:val="0"/>
                <w:numId w:val="44"/>
              </w:numPr>
              <w:spacing w:before="100" w:beforeAutospacing="1" w:after="100" w:afterAutospacing="1" w:line="300" w:lineRule="atLeast"/>
              <w:rPr>
                <w:rFonts w:ascii="Times New Roman" w:eastAsia="Times New Roman" w:hAnsi="Times New Roman" w:cs="Times New Roman"/>
                <w:sz w:val="18"/>
                <w:szCs w:val="18"/>
              </w:rPr>
            </w:pPr>
            <w:r w:rsidRPr="00E04602">
              <w:rPr>
                <w:rFonts w:ascii="Times New Roman" w:eastAsia="Times New Roman" w:hAnsi="Times New Roman" w:cs="Times New Roman"/>
                <w:bCs/>
                <w:sz w:val="18"/>
                <w:szCs w:val="18"/>
              </w:rPr>
              <w:t>N – mospërputhshmëri</w:t>
            </w:r>
          </w:p>
          <w:p w14:paraId="7AA9D97B" w14:textId="5190F73D" w:rsidR="00922FEB" w:rsidRPr="00036F88" w:rsidRDefault="00922FEB" w:rsidP="00036F88">
            <w:pPr>
              <w:rPr>
                <w:rFonts w:ascii="Times New Roman" w:eastAsia="Calibri" w:hAnsi="Times New Roman" w:cs="Times New Roman"/>
                <w:sz w:val="18"/>
                <w:szCs w:val="18"/>
              </w:rPr>
            </w:pPr>
          </w:p>
        </w:tc>
      </w:tr>
      <w:tr w:rsidR="00260632" w:rsidRPr="00036F88" w14:paraId="01827783" w14:textId="77777777" w:rsidTr="007D044B">
        <w:trPr>
          <w:tblHeader/>
        </w:trPr>
        <w:tc>
          <w:tcPr>
            <w:tcW w:w="1619" w:type="dxa"/>
            <w:shd w:val="clear" w:color="auto" w:fill="BFBFBF"/>
          </w:tcPr>
          <w:p w14:paraId="52A84D2B" w14:textId="721D3075" w:rsidR="004F619A" w:rsidRPr="00036F88" w:rsidRDefault="004F619A" w:rsidP="00036F88">
            <w:pPr>
              <w:jc w:val="center"/>
              <w:rPr>
                <w:rFonts w:ascii="Times New Roman" w:eastAsia="Times New Roman" w:hAnsi="Times New Roman" w:cs="Times New Roman"/>
                <w:sz w:val="18"/>
                <w:szCs w:val="18"/>
              </w:rPr>
            </w:pPr>
            <w:r w:rsidRPr="00036F88">
              <w:rPr>
                <w:rFonts w:ascii="Times New Roman" w:hAnsi="Times New Roman" w:cs="Times New Roman"/>
                <w:sz w:val="18"/>
                <w:szCs w:val="18"/>
              </w:rPr>
              <w:t>1</w:t>
            </w:r>
          </w:p>
        </w:tc>
        <w:tc>
          <w:tcPr>
            <w:tcW w:w="4321" w:type="dxa"/>
            <w:shd w:val="clear" w:color="auto" w:fill="BFBFBF"/>
          </w:tcPr>
          <w:p w14:paraId="1DA553D3" w14:textId="64D8F57B" w:rsidR="004F619A" w:rsidRPr="00036F88" w:rsidRDefault="004F619A" w:rsidP="00036F88">
            <w:pPr>
              <w:jc w:val="center"/>
              <w:rPr>
                <w:rFonts w:ascii="Times New Roman" w:eastAsia="Times New Roman" w:hAnsi="Times New Roman" w:cs="Times New Roman"/>
                <w:i/>
                <w:sz w:val="18"/>
                <w:szCs w:val="18"/>
              </w:rPr>
            </w:pPr>
            <w:r w:rsidRPr="00036F88">
              <w:rPr>
                <w:rFonts w:ascii="Times New Roman" w:hAnsi="Times New Roman" w:cs="Times New Roman"/>
                <w:sz w:val="18"/>
                <w:szCs w:val="18"/>
              </w:rPr>
              <w:t>2</w:t>
            </w:r>
          </w:p>
        </w:tc>
        <w:tc>
          <w:tcPr>
            <w:tcW w:w="540" w:type="dxa"/>
            <w:shd w:val="clear" w:color="auto" w:fill="BFBFBF"/>
          </w:tcPr>
          <w:p w14:paraId="6A8D7A06" w14:textId="724E6EFC" w:rsidR="004F619A" w:rsidRPr="00036F88" w:rsidRDefault="004F619A" w:rsidP="00036F88">
            <w:pPr>
              <w:jc w:val="center"/>
              <w:rPr>
                <w:rFonts w:ascii="Times New Roman" w:eastAsia="Times New Roman" w:hAnsi="Times New Roman" w:cs="Times New Roman"/>
                <w:i/>
                <w:sz w:val="18"/>
                <w:szCs w:val="18"/>
              </w:rPr>
            </w:pPr>
            <w:r w:rsidRPr="00036F88">
              <w:rPr>
                <w:rFonts w:ascii="Times New Roman" w:hAnsi="Times New Roman" w:cs="Times New Roman"/>
                <w:sz w:val="18"/>
                <w:szCs w:val="18"/>
              </w:rPr>
              <w:t>3</w:t>
            </w:r>
          </w:p>
        </w:tc>
        <w:tc>
          <w:tcPr>
            <w:tcW w:w="630" w:type="dxa"/>
            <w:shd w:val="clear" w:color="auto" w:fill="BFBFBF"/>
          </w:tcPr>
          <w:p w14:paraId="508F371C" w14:textId="4604AAB0" w:rsidR="004F619A" w:rsidRPr="00036F88" w:rsidRDefault="004F619A" w:rsidP="00036F88">
            <w:pPr>
              <w:jc w:val="center"/>
              <w:rPr>
                <w:rFonts w:ascii="Times New Roman" w:eastAsia="Times New Roman" w:hAnsi="Times New Roman" w:cs="Times New Roman"/>
                <w:i/>
                <w:sz w:val="18"/>
                <w:szCs w:val="18"/>
              </w:rPr>
            </w:pPr>
            <w:r w:rsidRPr="00036F88">
              <w:rPr>
                <w:rFonts w:ascii="Times New Roman" w:hAnsi="Times New Roman" w:cs="Times New Roman"/>
                <w:sz w:val="18"/>
                <w:szCs w:val="18"/>
              </w:rPr>
              <w:t>4</w:t>
            </w:r>
          </w:p>
        </w:tc>
        <w:tc>
          <w:tcPr>
            <w:tcW w:w="4950" w:type="dxa"/>
            <w:shd w:val="clear" w:color="auto" w:fill="BFBFBF"/>
          </w:tcPr>
          <w:p w14:paraId="2141FB79" w14:textId="3C150691" w:rsidR="004F619A" w:rsidRPr="00036F88" w:rsidRDefault="004F619A" w:rsidP="00036F88">
            <w:pPr>
              <w:jc w:val="center"/>
              <w:rPr>
                <w:rFonts w:ascii="Times New Roman" w:eastAsia="Times New Roman" w:hAnsi="Times New Roman" w:cs="Times New Roman"/>
                <w:i/>
                <w:sz w:val="18"/>
                <w:szCs w:val="18"/>
              </w:rPr>
            </w:pPr>
            <w:r w:rsidRPr="00036F88">
              <w:rPr>
                <w:rFonts w:ascii="Times New Roman" w:hAnsi="Times New Roman" w:cs="Times New Roman"/>
                <w:sz w:val="18"/>
                <w:szCs w:val="18"/>
              </w:rPr>
              <w:t>5</w:t>
            </w:r>
          </w:p>
        </w:tc>
        <w:tc>
          <w:tcPr>
            <w:tcW w:w="990" w:type="dxa"/>
            <w:shd w:val="clear" w:color="auto" w:fill="BFBFBF"/>
          </w:tcPr>
          <w:p w14:paraId="7B5923AD" w14:textId="0DA9C058" w:rsidR="004F619A" w:rsidRPr="00036F88" w:rsidRDefault="004F619A" w:rsidP="00036F88">
            <w:pPr>
              <w:jc w:val="center"/>
              <w:rPr>
                <w:rFonts w:ascii="Times New Roman" w:eastAsia="Times New Roman" w:hAnsi="Times New Roman" w:cs="Times New Roman"/>
                <w:i/>
                <w:sz w:val="18"/>
                <w:szCs w:val="18"/>
              </w:rPr>
            </w:pPr>
            <w:r w:rsidRPr="00036F88">
              <w:rPr>
                <w:rFonts w:ascii="Times New Roman" w:hAnsi="Times New Roman" w:cs="Times New Roman"/>
                <w:sz w:val="18"/>
                <w:szCs w:val="18"/>
              </w:rPr>
              <w:t>6</w:t>
            </w:r>
          </w:p>
        </w:tc>
        <w:tc>
          <w:tcPr>
            <w:tcW w:w="3150" w:type="dxa"/>
            <w:shd w:val="clear" w:color="auto" w:fill="BFBFBF"/>
          </w:tcPr>
          <w:p w14:paraId="25BA9212" w14:textId="4444B760" w:rsidR="004F619A" w:rsidRPr="00036F88" w:rsidRDefault="004F619A" w:rsidP="00036F88">
            <w:pPr>
              <w:jc w:val="center"/>
              <w:rPr>
                <w:rFonts w:ascii="Times New Roman" w:eastAsia="Times New Roman" w:hAnsi="Times New Roman" w:cs="Times New Roman"/>
                <w:i/>
                <w:sz w:val="18"/>
                <w:szCs w:val="18"/>
              </w:rPr>
            </w:pPr>
            <w:r w:rsidRPr="00036F88">
              <w:rPr>
                <w:rFonts w:ascii="Times New Roman" w:hAnsi="Times New Roman" w:cs="Times New Roman"/>
                <w:sz w:val="18"/>
                <w:szCs w:val="18"/>
              </w:rPr>
              <w:t>7</w:t>
            </w:r>
          </w:p>
        </w:tc>
      </w:tr>
      <w:tr w:rsidR="00260632" w:rsidRPr="00036F88" w14:paraId="405531F1" w14:textId="77777777" w:rsidTr="007D044B">
        <w:trPr>
          <w:tblHeader/>
        </w:trPr>
        <w:tc>
          <w:tcPr>
            <w:tcW w:w="1619" w:type="dxa"/>
            <w:shd w:val="clear" w:color="auto" w:fill="BFBFBF"/>
            <w:vAlign w:val="center"/>
          </w:tcPr>
          <w:p w14:paraId="1E9FDE14" w14:textId="6ECD3D03" w:rsidR="004F619A" w:rsidRPr="00036F88" w:rsidRDefault="00E04602" w:rsidP="00036F88">
            <w:pPr>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Neni</w:t>
            </w:r>
            <w:r w:rsidR="004F619A" w:rsidRPr="00036F88">
              <w:rPr>
                <w:rFonts w:ascii="Times New Roman" w:eastAsia="Times New Roman" w:hAnsi="Times New Roman" w:cs="Times New Roman"/>
                <w:sz w:val="18"/>
                <w:szCs w:val="18"/>
                <w:lang w:val="en-US"/>
              </w:rPr>
              <w:t xml:space="preserve"> </w:t>
            </w:r>
          </w:p>
        </w:tc>
        <w:tc>
          <w:tcPr>
            <w:tcW w:w="4321" w:type="dxa"/>
            <w:shd w:val="clear" w:color="auto" w:fill="BFBFBF"/>
            <w:vAlign w:val="center"/>
          </w:tcPr>
          <w:p w14:paraId="76176853" w14:textId="6DB48D0B" w:rsidR="004F619A" w:rsidRPr="00036F88" w:rsidRDefault="004F619A" w:rsidP="00036F88">
            <w:pPr>
              <w:jc w:val="center"/>
              <w:rPr>
                <w:rFonts w:ascii="Times New Roman" w:eastAsia="Times New Roman" w:hAnsi="Times New Roman" w:cs="Times New Roman"/>
                <w:i/>
                <w:sz w:val="18"/>
                <w:szCs w:val="18"/>
                <w:lang w:val="en-US"/>
              </w:rPr>
            </w:pPr>
            <w:r w:rsidRPr="00036F88">
              <w:rPr>
                <w:rFonts w:ascii="Times New Roman" w:eastAsia="Times New Roman" w:hAnsi="Times New Roman" w:cs="Times New Roman"/>
                <w:i/>
                <w:sz w:val="18"/>
                <w:szCs w:val="18"/>
                <w:lang w:val="en-US"/>
              </w:rPr>
              <w:t>Te</w:t>
            </w:r>
            <w:r w:rsidR="00E04602">
              <w:rPr>
                <w:rFonts w:ascii="Times New Roman" w:eastAsia="Times New Roman" w:hAnsi="Times New Roman" w:cs="Times New Roman"/>
                <w:i/>
                <w:sz w:val="18"/>
                <w:szCs w:val="18"/>
                <w:lang w:val="en-US"/>
              </w:rPr>
              <w:t>ksti</w:t>
            </w:r>
          </w:p>
        </w:tc>
        <w:tc>
          <w:tcPr>
            <w:tcW w:w="540" w:type="dxa"/>
            <w:shd w:val="clear" w:color="auto" w:fill="BFBFBF"/>
            <w:vAlign w:val="center"/>
          </w:tcPr>
          <w:p w14:paraId="7B0A27CB" w14:textId="39600D51" w:rsidR="004F619A" w:rsidRPr="00036F88" w:rsidRDefault="004F619A" w:rsidP="00036F88">
            <w:pPr>
              <w:jc w:val="center"/>
              <w:rPr>
                <w:rFonts w:ascii="Times New Roman" w:eastAsia="Times New Roman" w:hAnsi="Times New Roman" w:cs="Times New Roman"/>
                <w:i/>
                <w:sz w:val="18"/>
                <w:szCs w:val="18"/>
                <w:lang w:val="en-US"/>
              </w:rPr>
            </w:pPr>
            <w:r w:rsidRPr="00036F88">
              <w:rPr>
                <w:rFonts w:ascii="Times New Roman" w:eastAsia="Times New Roman" w:hAnsi="Times New Roman" w:cs="Times New Roman"/>
                <w:i/>
                <w:sz w:val="18"/>
                <w:szCs w:val="18"/>
                <w:lang w:val="en-US"/>
              </w:rPr>
              <w:t>Referenc</w:t>
            </w:r>
            <w:r w:rsidR="00E04602">
              <w:rPr>
                <w:rFonts w:ascii="Times New Roman" w:eastAsia="Times New Roman" w:hAnsi="Times New Roman" w:cs="Times New Roman"/>
                <w:i/>
                <w:sz w:val="18"/>
                <w:szCs w:val="18"/>
                <w:lang w:val="en-US"/>
              </w:rPr>
              <w:t>a</w:t>
            </w:r>
          </w:p>
        </w:tc>
        <w:tc>
          <w:tcPr>
            <w:tcW w:w="630" w:type="dxa"/>
            <w:shd w:val="clear" w:color="auto" w:fill="BFBFBF"/>
            <w:vAlign w:val="center"/>
          </w:tcPr>
          <w:p w14:paraId="4FA58976" w14:textId="77A8BA7E" w:rsidR="004F619A" w:rsidRPr="00036F88" w:rsidRDefault="00E04602" w:rsidP="00036F88">
            <w:pPr>
              <w:jc w:val="center"/>
              <w:rPr>
                <w:rFonts w:ascii="Times New Roman" w:eastAsia="Times New Roman" w:hAnsi="Times New Roman" w:cs="Times New Roman"/>
                <w:i/>
                <w:sz w:val="18"/>
                <w:szCs w:val="18"/>
                <w:lang w:val="en-US"/>
              </w:rPr>
            </w:pPr>
            <w:r>
              <w:rPr>
                <w:rFonts w:ascii="Times New Roman" w:eastAsia="Times New Roman" w:hAnsi="Times New Roman" w:cs="Times New Roman"/>
                <w:i/>
                <w:sz w:val="18"/>
                <w:szCs w:val="18"/>
                <w:lang w:val="en-US"/>
              </w:rPr>
              <w:t>Neni</w:t>
            </w:r>
          </w:p>
        </w:tc>
        <w:tc>
          <w:tcPr>
            <w:tcW w:w="4950" w:type="dxa"/>
            <w:shd w:val="clear" w:color="auto" w:fill="BFBFBF"/>
            <w:vAlign w:val="center"/>
          </w:tcPr>
          <w:p w14:paraId="1C97514E" w14:textId="65697EE1" w:rsidR="004F619A" w:rsidRPr="00036F88" w:rsidRDefault="004F619A" w:rsidP="00036F88">
            <w:pPr>
              <w:jc w:val="center"/>
              <w:rPr>
                <w:rFonts w:ascii="Times New Roman" w:eastAsia="Times New Roman" w:hAnsi="Times New Roman" w:cs="Times New Roman"/>
                <w:i/>
                <w:sz w:val="18"/>
                <w:szCs w:val="18"/>
                <w:lang w:val="en-US"/>
              </w:rPr>
            </w:pPr>
            <w:r w:rsidRPr="00036F88">
              <w:rPr>
                <w:rFonts w:ascii="Times New Roman" w:eastAsia="Times New Roman" w:hAnsi="Times New Roman" w:cs="Times New Roman"/>
                <w:i/>
                <w:sz w:val="18"/>
                <w:szCs w:val="18"/>
                <w:lang w:val="en-US"/>
              </w:rPr>
              <w:t>T</w:t>
            </w:r>
            <w:r w:rsidR="00E04602">
              <w:rPr>
                <w:rFonts w:ascii="Times New Roman" w:eastAsia="Times New Roman" w:hAnsi="Times New Roman" w:cs="Times New Roman"/>
                <w:i/>
                <w:sz w:val="18"/>
                <w:szCs w:val="18"/>
                <w:lang w:val="en-US"/>
              </w:rPr>
              <w:t>eksti</w:t>
            </w:r>
          </w:p>
        </w:tc>
        <w:tc>
          <w:tcPr>
            <w:tcW w:w="990" w:type="dxa"/>
            <w:shd w:val="clear" w:color="auto" w:fill="BFBFBF"/>
            <w:vAlign w:val="center"/>
          </w:tcPr>
          <w:p w14:paraId="7416E437" w14:textId="53898462" w:rsidR="004F619A" w:rsidRPr="00036F88" w:rsidRDefault="00E04602" w:rsidP="00036F88">
            <w:pPr>
              <w:jc w:val="center"/>
              <w:rPr>
                <w:rFonts w:ascii="Times New Roman" w:eastAsia="Times New Roman" w:hAnsi="Times New Roman" w:cs="Times New Roman"/>
                <w:i/>
                <w:sz w:val="18"/>
                <w:szCs w:val="18"/>
                <w:lang w:val="en-US"/>
              </w:rPr>
            </w:pPr>
            <w:r>
              <w:rPr>
                <w:rFonts w:ascii="Times New Roman" w:eastAsia="Times New Roman" w:hAnsi="Times New Roman" w:cs="Times New Roman"/>
                <w:i/>
                <w:sz w:val="18"/>
                <w:szCs w:val="18"/>
                <w:lang w:val="en-US"/>
              </w:rPr>
              <w:t>Shkalle Përputhshmërisë</w:t>
            </w:r>
          </w:p>
        </w:tc>
        <w:tc>
          <w:tcPr>
            <w:tcW w:w="3150" w:type="dxa"/>
            <w:shd w:val="clear" w:color="auto" w:fill="BFBFBF"/>
            <w:vAlign w:val="center"/>
          </w:tcPr>
          <w:p w14:paraId="2D3E0BBE" w14:textId="29FFD875" w:rsidR="004F619A" w:rsidRPr="00036F88" w:rsidRDefault="00E04602" w:rsidP="00036F88">
            <w:pPr>
              <w:jc w:val="center"/>
              <w:rPr>
                <w:rFonts w:ascii="Times New Roman" w:eastAsia="Times New Roman" w:hAnsi="Times New Roman" w:cs="Times New Roman"/>
                <w:i/>
                <w:sz w:val="18"/>
                <w:szCs w:val="18"/>
                <w:lang w:val="en-US"/>
              </w:rPr>
            </w:pPr>
            <w:r>
              <w:rPr>
                <w:rFonts w:ascii="Times New Roman" w:eastAsia="Times New Roman" w:hAnsi="Times New Roman" w:cs="Times New Roman"/>
                <w:i/>
                <w:sz w:val="18"/>
                <w:szCs w:val="18"/>
                <w:lang w:val="en-US"/>
              </w:rPr>
              <w:t>Shënime/Komente</w:t>
            </w:r>
          </w:p>
        </w:tc>
      </w:tr>
    </w:tbl>
    <w:p w14:paraId="1F69D40D" w14:textId="3855042B" w:rsidR="00922FEB" w:rsidRPr="00036F88" w:rsidRDefault="00922FEB" w:rsidP="00036F88">
      <w:pPr>
        <w:spacing w:after="200" w:line="240" w:lineRule="auto"/>
        <w:rPr>
          <w:rFonts w:ascii="Times New Roman" w:eastAsia="Calibri" w:hAnsi="Times New Roman" w:cs="Times New Roman"/>
          <w:kern w:val="0"/>
          <w:sz w:val="18"/>
          <w:szCs w:val="18"/>
          <w14:ligatures w14:val="none"/>
        </w:rPr>
      </w:pPr>
    </w:p>
    <w:tbl>
      <w:tblPr>
        <w:tblStyle w:val="TableGrid"/>
        <w:tblW w:w="16200" w:type="dxa"/>
        <w:tblInd w:w="-1085" w:type="dxa"/>
        <w:tblLayout w:type="fixed"/>
        <w:tblLook w:val="04A0" w:firstRow="1" w:lastRow="0" w:firstColumn="1" w:lastColumn="0" w:noHBand="0" w:noVBand="1"/>
      </w:tblPr>
      <w:tblGrid>
        <w:gridCol w:w="540"/>
        <w:gridCol w:w="5400"/>
        <w:gridCol w:w="540"/>
        <w:gridCol w:w="630"/>
        <w:gridCol w:w="4964"/>
        <w:gridCol w:w="976"/>
        <w:gridCol w:w="3150"/>
      </w:tblGrid>
      <w:tr w:rsidR="00260632" w:rsidRPr="00556412" w14:paraId="32F4D837" w14:textId="77777777" w:rsidTr="003C3604">
        <w:trPr>
          <w:tblHeader/>
        </w:trPr>
        <w:tc>
          <w:tcPr>
            <w:tcW w:w="540" w:type="dxa"/>
            <w:shd w:val="clear" w:color="auto" w:fill="BFBFBF"/>
          </w:tcPr>
          <w:p w14:paraId="623B109C" w14:textId="4AA779B1" w:rsidR="000A7EA3" w:rsidRPr="00556412" w:rsidRDefault="000A7EA3" w:rsidP="00556412">
            <w:pPr>
              <w:spacing w:line="240" w:lineRule="atLeast"/>
              <w:jc w:val="center"/>
              <w:rPr>
                <w:rFonts w:ascii="Times New Roman" w:eastAsia="Times New Roman" w:hAnsi="Times New Roman" w:cs="Times New Roman"/>
                <w:sz w:val="18"/>
                <w:szCs w:val="18"/>
              </w:rPr>
            </w:pPr>
            <w:r w:rsidRPr="00556412">
              <w:rPr>
                <w:rFonts w:ascii="Times New Roman" w:hAnsi="Times New Roman" w:cs="Times New Roman"/>
                <w:sz w:val="18"/>
                <w:szCs w:val="18"/>
              </w:rPr>
              <w:t>1</w:t>
            </w:r>
          </w:p>
        </w:tc>
        <w:tc>
          <w:tcPr>
            <w:tcW w:w="5400" w:type="dxa"/>
            <w:shd w:val="clear" w:color="auto" w:fill="BFBFBF"/>
          </w:tcPr>
          <w:p w14:paraId="0EF916BA" w14:textId="15F44D6D" w:rsidR="000A7EA3" w:rsidRPr="00556412" w:rsidRDefault="000A7EA3" w:rsidP="00556412">
            <w:pPr>
              <w:spacing w:line="240" w:lineRule="atLeast"/>
              <w:jc w:val="center"/>
              <w:rPr>
                <w:rFonts w:ascii="Times New Roman" w:eastAsia="Times New Roman" w:hAnsi="Times New Roman" w:cs="Times New Roman"/>
                <w:iCs/>
                <w:sz w:val="18"/>
                <w:szCs w:val="18"/>
              </w:rPr>
            </w:pPr>
            <w:r w:rsidRPr="00556412">
              <w:rPr>
                <w:rFonts w:ascii="Times New Roman" w:hAnsi="Times New Roman" w:cs="Times New Roman"/>
                <w:sz w:val="18"/>
                <w:szCs w:val="18"/>
              </w:rPr>
              <w:t>2</w:t>
            </w:r>
          </w:p>
        </w:tc>
        <w:tc>
          <w:tcPr>
            <w:tcW w:w="540" w:type="dxa"/>
            <w:shd w:val="clear" w:color="auto" w:fill="D0CECE" w:themeFill="background2" w:themeFillShade="E6"/>
          </w:tcPr>
          <w:p w14:paraId="04E9A02F" w14:textId="584B0512" w:rsidR="000A7EA3" w:rsidRPr="00556412" w:rsidRDefault="000A7EA3" w:rsidP="00556412">
            <w:pPr>
              <w:spacing w:line="240" w:lineRule="atLeast"/>
              <w:jc w:val="center"/>
              <w:rPr>
                <w:rFonts w:ascii="Times New Roman" w:hAnsi="Times New Roman" w:cs="Times New Roman"/>
                <w:sz w:val="18"/>
                <w:szCs w:val="18"/>
              </w:rPr>
            </w:pPr>
            <w:r w:rsidRPr="00556412">
              <w:rPr>
                <w:rFonts w:ascii="Times New Roman" w:hAnsi="Times New Roman" w:cs="Times New Roman"/>
                <w:sz w:val="18"/>
                <w:szCs w:val="18"/>
              </w:rPr>
              <w:t>3</w:t>
            </w:r>
          </w:p>
        </w:tc>
        <w:tc>
          <w:tcPr>
            <w:tcW w:w="630" w:type="dxa"/>
            <w:shd w:val="clear" w:color="auto" w:fill="BFBFBF"/>
          </w:tcPr>
          <w:p w14:paraId="11B2F0E9" w14:textId="510E5F67" w:rsidR="000A7EA3" w:rsidRPr="00556412" w:rsidRDefault="000A7EA3" w:rsidP="00556412">
            <w:pPr>
              <w:spacing w:line="240" w:lineRule="atLeast"/>
              <w:jc w:val="center"/>
              <w:rPr>
                <w:rFonts w:ascii="Times New Roman" w:eastAsia="Times New Roman" w:hAnsi="Times New Roman" w:cs="Times New Roman"/>
                <w:i/>
                <w:sz w:val="18"/>
                <w:szCs w:val="18"/>
              </w:rPr>
            </w:pPr>
            <w:r w:rsidRPr="00556412">
              <w:rPr>
                <w:rFonts w:ascii="Times New Roman" w:hAnsi="Times New Roman" w:cs="Times New Roman"/>
                <w:sz w:val="18"/>
                <w:szCs w:val="18"/>
              </w:rPr>
              <w:t>4</w:t>
            </w:r>
          </w:p>
        </w:tc>
        <w:tc>
          <w:tcPr>
            <w:tcW w:w="4964" w:type="dxa"/>
            <w:shd w:val="clear" w:color="auto" w:fill="BFBFBF"/>
          </w:tcPr>
          <w:p w14:paraId="18D0D936" w14:textId="2F6EC06B" w:rsidR="000A7EA3" w:rsidRPr="00556412" w:rsidRDefault="000A7EA3" w:rsidP="00556412">
            <w:pPr>
              <w:spacing w:line="240" w:lineRule="atLeast"/>
              <w:jc w:val="center"/>
              <w:rPr>
                <w:rFonts w:ascii="Times New Roman" w:eastAsia="Times New Roman" w:hAnsi="Times New Roman" w:cs="Times New Roman"/>
                <w:i/>
                <w:sz w:val="18"/>
                <w:szCs w:val="18"/>
              </w:rPr>
            </w:pPr>
            <w:r w:rsidRPr="00556412">
              <w:rPr>
                <w:rFonts w:ascii="Times New Roman" w:hAnsi="Times New Roman" w:cs="Times New Roman"/>
                <w:sz w:val="18"/>
                <w:szCs w:val="18"/>
              </w:rPr>
              <w:t>5</w:t>
            </w:r>
          </w:p>
        </w:tc>
        <w:tc>
          <w:tcPr>
            <w:tcW w:w="976" w:type="dxa"/>
            <w:shd w:val="clear" w:color="auto" w:fill="BFBFBF"/>
          </w:tcPr>
          <w:p w14:paraId="1F29B9CC" w14:textId="46D8A615" w:rsidR="000A7EA3" w:rsidRPr="00556412" w:rsidRDefault="000A7EA3" w:rsidP="00556412">
            <w:pPr>
              <w:spacing w:line="240" w:lineRule="atLeast"/>
              <w:jc w:val="center"/>
              <w:rPr>
                <w:rFonts w:ascii="Times New Roman" w:eastAsia="Times New Roman" w:hAnsi="Times New Roman" w:cs="Times New Roman"/>
                <w:i/>
                <w:sz w:val="18"/>
                <w:szCs w:val="18"/>
              </w:rPr>
            </w:pPr>
            <w:r w:rsidRPr="00556412">
              <w:rPr>
                <w:rFonts w:ascii="Times New Roman" w:hAnsi="Times New Roman" w:cs="Times New Roman"/>
                <w:sz w:val="18"/>
                <w:szCs w:val="18"/>
              </w:rPr>
              <w:t>6</w:t>
            </w:r>
          </w:p>
        </w:tc>
        <w:tc>
          <w:tcPr>
            <w:tcW w:w="3150" w:type="dxa"/>
            <w:shd w:val="clear" w:color="auto" w:fill="BFBFBF"/>
          </w:tcPr>
          <w:p w14:paraId="1EC97E09" w14:textId="00684BF9" w:rsidR="000A7EA3" w:rsidRPr="00556412" w:rsidRDefault="000A7EA3" w:rsidP="00556412">
            <w:pPr>
              <w:spacing w:line="240" w:lineRule="atLeast"/>
              <w:jc w:val="center"/>
              <w:rPr>
                <w:rFonts w:ascii="Times New Roman" w:eastAsia="Times New Roman" w:hAnsi="Times New Roman" w:cs="Times New Roman"/>
                <w:i/>
                <w:sz w:val="18"/>
                <w:szCs w:val="18"/>
              </w:rPr>
            </w:pPr>
            <w:r w:rsidRPr="00556412">
              <w:rPr>
                <w:rFonts w:ascii="Times New Roman" w:hAnsi="Times New Roman" w:cs="Times New Roman"/>
                <w:sz w:val="18"/>
                <w:szCs w:val="18"/>
              </w:rPr>
              <w:t>7</w:t>
            </w:r>
          </w:p>
        </w:tc>
      </w:tr>
      <w:tr w:rsidR="00260632" w:rsidRPr="00556412" w14:paraId="33DF4310" w14:textId="77777777" w:rsidTr="003C3604">
        <w:trPr>
          <w:tblHeader/>
        </w:trPr>
        <w:tc>
          <w:tcPr>
            <w:tcW w:w="540" w:type="dxa"/>
            <w:shd w:val="clear" w:color="auto" w:fill="BFBFBF"/>
            <w:vAlign w:val="center"/>
          </w:tcPr>
          <w:p w14:paraId="39F8C6F9" w14:textId="457E8DD7" w:rsidR="000A7EA3" w:rsidRPr="00556412" w:rsidRDefault="001863FA" w:rsidP="00556412">
            <w:pPr>
              <w:spacing w:line="240" w:lineRule="atLeast"/>
              <w:rPr>
                <w:rFonts w:ascii="Times New Roman" w:eastAsia="Times New Roman" w:hAnsi="Times New Roman" w:cs="Times New Roman"/>
                <w:sz w:val="18"/>
                <w:szCs w:val="18"/>
                <w:lang w:val="en-US"/>
              </w:rPr>
            </w:pPr>
            <w:r w:rsidRPr="00556412">
              <w:rPr>
                <w:rFonts w:ascii="Times New Roman" w:eastAsia="Times New Roman" w:hAnsi="Times New Roman" w:cs="Times New Roman"/>
                <w:sz w:val="18"/>
                <w:szCs w:val="18"/>
                <w:lang w:val="en-US"/>
              </w:rPr>
              <w:t>Neni</w:t>
            </w:r>
          </w:p>
        </w:tc>
        <w:tc>
          <w:tcPr>
            <w:tcW w:w="5400" w:type="dxa"/>
            <w:shd w:val="clear" w:color="auto" w:fill="BFBFBF"/>
            <w:vAlign w:val="center"/>
          </w:tcPr>
          <w:p w14:paraId="17F6068A" w14:textId="0CC2A0F4" w:rsidR="000A7EA3" w:rsidRPr="00556412" w:rsidRDefault="000A7EA3" w:rsidP="00556412">
            <w:pPr>
              <w:spacing w:line="240" w:lineRule="atLeast"/>
              <w:jc w:val="center"/>
              <w:rPr>
                <w:rFonts w:ascii="Times New Roman" w:eastAsia="Times New Roman" w:hAnsi="Times New Roman" w:cs="Times New Roman"/>
                <w:iCs/>
                <w:sz w:val="18"/>
                <w:szCs w:val="18"/>
                <w:lang w:val="en-US"/>
              </w:rPr>
            </w:pPr>
            <w:r w:rsidRPr="00556412">
              <w:rPr>
                <w:rFonts w:ascii="Times New Roman" w:eastAsia="Times New Roman" w:hAnsi="Times New Roman" w:cs="Times New Roman"/>
                <w:iCs/>
                <w:sz w:val="18"/>
                <w:szCs w:val="18"/>
                <w:lang w:val="en-US"/>
              </w:rPr>
              <w:t>Te</w:t>
            </w:r>
            <w:r w:rsidR="001863FA" w:rsidRPr="00556412">
              <w:rPr>
                <w:rFonts w:ascii="Times New Roman" w:eastAsia="Times New Roman" w:hAnsi="Times New Roman" w:cs="Times New Roman"/>
                <w:iCs/>
                <w:sz w:val="18"/>
                <w:szCs w:val="18"/>
                <w:lang w:val="en-US"/>
              </w:rPr>
              <w:t>ksti</w:t>
            </w:r>
          </w:p>
        </w:tc>
        <w:tc>
          <w:tcPr>
            <w:tcW w:w="540" w:type="dxa"/>
            <w:shd w:val="clear" w:color="auto" w:fill="D0CECE" w:themeFill="background2" w:themeFillShade="E6"/>
          </w:tcPr>
          <w:p w14:paraId="476E07DB" w14:textId="60522C54" w:rsidR="000A7EA3" w:rsidRPr="00556412" w:rsidRDefault="000A7EA3" w:rsidP="00556412">
            <w:pPr>
              <w:spacing w:line="240" w:lineRule="atLeast"/>
              <w:jc w:val="center"/>
              <w:rPr>
                <w:rFonts w:ascii="Times New Roman" w:hAnsi="Times New Roman" w:cs="Times New Roman"/>
                <w:sz w:val="18"/>
                <w:szCs w:val="18"/>
              </w:rPr>
            </w:pPr>
            <w:r w:rsidRPr="00556412">
              <w:rPr>
                <w:rFonts w:ascii="Times New Roman" w:hAnsi="Times New Roman" w:cs="Times New Roman"/>
                <w:sz w:val="18"/>
                <w:szCs w:val="18"/>
              </w:rPr>
              <w:t>Referenc</w:t>
            </w:r>
            <w:r w:rsidR="001863FA" w:rsidRPr="00556412">
              <w:rPr>
                <w:rFonts w:ascii="Times New Roman" w:hAnsi="Times New Roman" w:cs="Times New Roman"/>
                <w:sz w:val="18"/>
                <w:szCs w:val="18"/>
              </w:rPr>
              <w:t>a</w:t>
            </w:r>
          </w:p>
        </w:tc>
        <w:tc>
          <w:tcPr>
            <w:tcW w:w="630" w:type="dxa"/>
            <w:shd w:val="clear" w:color="auto" w:fill="BFBFBF"/>
            <w:vAlign w:val="center"/>
          </w:tcPr>
          <w:p w14:paraId="5B81B475" w14:textId="1C5CA3A0" w:rsidR="000A7EA3" w:rsidRPr="00556412" w:rsidRDefault="001863FA" w:rsidP="00556412">
            <w:pPr>
              <w:spacing w:line="240" w:lineRule="atLeast"/>
              <w:jc w:val="center"/>
              <w:rPr>
                <w:rFonts w:ascii="Times New Roman" w:eastAsia="Times New Roman" w:hAnsi="Times New Roman" w:cs="Times New Roman"/>
                <w:i/>
                <w:sz w:val="18"/>
                <w:szCs w:val="18"/>
                <w:lang w:val="en-US"/>
              </w:rPr>
            </w:pPr>
            <w:r w:rsidRPr="00556412">
              <w:rPr>
                <w:rFonts w:ascii="Times New Roman" w:eastAsia="Times New Roman" w:hAnsi="Times New Roman" w:cs="Times New Roman"/>
                <w:i/>
                <w:sz w:val="18"/>
                <w:szCs w:val="18"/>
                <w:lang w:val="en-US"/>
              </w:rPr>
              <w:t>Neni</w:t>
            </w:r>
          </w:p>
        </w:tc>
        <w:tc>
          <w:tcPr>
            <w:tcW w:w="4964" w:type="dxa"/>
            <w:shd w:val="clear" w:color="auto" w:fill="BFBFBF"/>
            <w:vAlign w:val="center"/>
          </w:tcPr>
          <w:p w14:paraId="19F4D508" w14:textId="3C2AFBF4" w:rsidR="000A7EA3" w:rsidRPr="00556412" w:rsidRDefault="000A7EA3" w:rsidP="00556412">
            <w:pPr>
              <w:spacing w:line="240" w:lineRule="atLeast"/>
              <w:jc w:val="center"/>
              <w:rPr>
                <w:rFonts w:ascii="Times New Roman" w:eastAsia="Times New Roman" w:hAnsi="Times New Roman" w:cs="Times New Roman"/>
                <w:i/>
                <w:sz w:val="18"/>
                <w:szCs w:val="18"/>
                <w:lang w:val="en-US"/>
              </w:rPr>
            </w:pPr>
            <w:r w:rsidRPr="00556412">
              <w:rPr>
                <w:rFonts w:ascii="Times New Roman" w:eastAsia="Times New Roman" w:hAnsi="Times New Roman" w:cs="Times New Roman"/>
                <w:i/>
                <w:sz w:val="18"/>
                <w:szCs w:val="18"/>
                <w:lang w:val="en-US"/>
              </w:rPr>
              <w:t>Te</w:t>
            </w:r>
            <w:r w:rsidR="001863FA" w:rsidRPr="00556412">
              <w:rPr>
                <w:rFonts w:ascii="Times New Roman" w:eastAsia="Times New Roman" w:hAnsi="Times New Roman" w:cs="Times New Roman"/>
                <w:i/>
                <w:sz w:val="18"/>
                <w:szCs w:val="18"/>
                <w:lang w:val="en-US"/>
              </w:rPr>
              <w:t>ksti</w:t>
            </w:r>
          </w:p>
        </w:tc>
        <w:tc>
          <w:tcPr>
            <w:tcW w:w="976" w:type="dxa"/>
            <w:shd w:val="clear" w:color="auto" w:fill="BFBFBF"/>
            <w:vAlign w:val="center"/>
          </w:tcPr>
          <w:p w14:paraId="609D564B" w14:textId="0757AE4A" w:rsidR="000A7EA3" w:rsidRPr="00556412" w:rsidRDefault="001863FA" w:rsidP="00556412">
            <w:pPr>
              <w:spacing w:line="240" w:lineRule="atLeast"/>
              <w:jc w:val="center"/>
              <w:rPr>
                <w:rFonts w:ascii="Times New Roman" w:eastAsia="Times New Roman" w:hAnsi="Times New Roman" w:cs="Times New Roman"/>
                <w:i/>
                <w:sz w:val="18"/>
                <w:szCs w:val="18"/>
                <w:lang w:val="en-US"/>
              </w:rPr>
            </w:pPr>
            <w:r w:rsidRPr="00556412">
              <w:rPr>
                <w:rFonts w:ascii="Times New Roman" w:eastAsia="Times New Roman" w:hAnsi="Times New Roman" w:cs="Times New Roman"/>
                <w:i/>
                <w:sz w:val="18"/>
                <w:szCs w:val="18"/>
                <w:lang w:val="en-US"/>
              </w:rPr>
              <w:t>Shkalla e Përputhshmërisë</w:t>
            </w:r>
          </w:p>
        </w:tc>
        <w:tc>
          <w:tcPr>
            <w:tcW w:w="3150" w:type="dxa"/>
            <w:shd w:val="clear" w:color="auto" w:fill="BFBFBF"/>
            <w:vAlign w:val="center"/>
          </w:tcPr>
          <w:p w14:paraId="0F04528A" w14:textId="6CB20CCE" w:rsidR="000A7EA3" w:rsidRPr="00556412" w:rsidRDefault="001863FA" w:rsidP="00556412">
            <w:pPr>
              <w:spacing w:line="240" w:lineRule="atLeast"/>
              <w:jc w:val="center"/>
              <w:rPr>
                <w:rFonts w:ascii="Times New Roman" w:eastAsia="Times New Roman" w:hAnsi="Times New Roman" w:cs="Times New Roman"/>
                <w:i/>
                <w:sz w:val="18"/>
                <w:szCs w:val="18"/>
                <w:lang w:val="en-US"/>
              </w:rPr>
            </w:pPr>
            <w:r w:rsidRPr="00556412">
              <w:rPr>
                <w:rFonts w:ascii="Times New Roman" w:eastAsia="Times New Roman" w:hAnsi="Times New Roman" w:cs="Times New Roman"/>
                <w:i/>
                <w:sz w:val="18"/>
                <w:szCs w:val="18"/>
                <w:lang w:val="en-US"/>
              </w:rPr>
              <w:t>Shënime/Komente</w:t>
            </w:r>
          </w:p>
        </w:tc>
      </w:tr>
      <w:tr w:rsidR="00260632" w:rsidRPr="00556412" w14:paraId="3101C841" w14:textId="77777777" w:rsidTr="003C3604">
        <w:tc>
          <w:tcPr>
            <w:tcW w:w="540" w:type="dxa"/>
            <w:shd w:val="clear" w:color="auto" w:fill="92D050"/>
          </w:tcPr>
          <w:p w14:paraId="171C88DE" w14:textId="77777777" w:rsidR="000A7EA3" w:rsidRPr="00556412" w:rsidRDefault="000A7EA3" w:rsidP="00556412">
            <w:pPr>
              <w:spacing w:line="240" w:lineRule="atLeast"/>
              <w:rPr>
                <w:rFonts w:ascii="Times New Roman" w:eastAsia="Calibri" w:hAnsi="Times New Roman" w:cs="Times New Roman"/>
                <w:sz w:val="18"/>
                <w:szCs w:val="18"/>
                <w:lang w:val="en-US"/>
              </w:rPr>
            </w:pPr>
          </w:p>
        </w:tc>
        <w:tc>
          <w:tcPr>
            <w:tcW w:w="5400" w:type="dxa"/>
            <w:shd w:val="clear" w:color="auto" w:fill="92D050"/>
          </w:tcPr>
          <w:p w14:paraId="3CBB6E23" w14:textId="71A0F858" w:rsidR="000A7EA3" w:rsidRPr="00556412" w:rsidRDefault="000A7EA3" w:rsidP="00556412">
            <w:pPr>
              <w:pStyle w:val="Heading1"/>
              <w:spacing w:line="240" w:lineRule="atLeast"/>
              <w:rPr>
                <w:rFonts w:ascii="Times New Roman" w:eastAsia="Calibri" w:hAnsi="Times New Roman" w:cs="Times New Roman"/>
                <w:color w:val="auto"/>
                <w:sz w:val="18"/>
                <w:szCs w:val="18"/>
                <w:lang w:val="en-US"/>
              </w:rPr>
            </w:pPr>
          </w:p>
        </w:tc>
        <w:tc>
          <w:tcPr>
            <w:tcW w:w="540" w:type="dxa"/>
          </w:tcPr>
          <w:p w14:paraId="4950B37F" w14:textId="77777777" w:rsidR="000A7EA3" w:rsidRPr="00556412" w:rsidRDefault="000A7EA3" w:rsidP="00556412">
            <w:pPr>
              <w:spacing w:line="240" w:lineRule="atLeast"/>
              <w:rPr>
                <w:rFonts w:ascii="Times New Roman" w:eastAsia="Calibri" w:hAnsi="Times New Roman" w:cs="Times New Roman"/>
                <w:sz w:val="18"/>
                <w:szCs w:val="18"/>
              </w:rPr>
            </w:pPr>
          </w:p>
        </w:tc>
        <w:tc>
          <w:tcPr>
            <w:tcW w:w="630" w:type="dxa"/>
            <w:shd w:val="clear" w:color="auto" w:fill="92D050"/>
          </w:tcPr>
          <w:p w14:paraId="4039FF8E" w14:textId="633026E3" w:rsidR="000A7EA3" w:rsidRPr="00556412" w:rsidRDefault="000A7EA3" w:rsidP="00556412">
            <w:pPr>
              <w:spacing w:line="240" w:lineRule="atLeast"/>
              <w:rPr>
                <w:rFonts w:ascii="Times New Roman" w:eastAsia="Calibri" w:hAnsi="Times New Roman" w:cs="Times New Roman"/>
                <w:sz w:val="18"/>
                <w:szCs w:val="18"/>
                <w:lang w:val="en-US"/>
              </w:rPr>
            </w:pPr>
          </w:p>
        </w:tc>
        <w:tc>
          <w:tcPr>
            <w:tcW w:w="4964" w:type="dxa"/>
            <w:shd w:val="clear" w:color="auto" w:fill="92D050"/>
          </w:tcPr>
          <w:p w14:paraId="62788674" w14:textId="77777777" w:rsidR="000A7EA3" w:rsidRPr="00556412" w:rsidRDefault="009C6431" w:rsidP="00556412">
            <w:pPr>
              <w:spacing w:line="240" w:lineRule="atLeast"/>
              <w:jc w:val="center"/>
              <w:rPr>
                <w:rFonts w:ascii="Times New Roman" w:hAnsi="Times New Roman" w:cs="Times New Roman"/>
                <w:sz w:val="18"/>
                <w:szCs w:val="18"/>
              </w:rPr>
            </w:pPr>
            <w:r w:rsidRPr="00556412">
              <w:rPr>
                <w:rFonts w:ascii="Times New Roman" w:hAnsi="Times New Roman" w:cs="Times New Roman"/>
                <w:sz w:val="18"/>
                <w:szCs w:val="18"/>
              </w:rPr>
              <w:t>Kapitulli 1</w:t>
            </w:r>
          </w:p>
          <w:p w14:paraId="0C0DB225" w14:textId="7F387BCD" w:rsidR="009C6431" w:rsidRPr="00556412" w:rsidRDefault="009C6431" w:rsidP="00556412">
            <w:pPr>
              <w:spacing w:line="240" w:lineRule="atLeast"/>
              <w:jc w:val="center"/>
              <w:rPr>
                <w:rFonts w:ascii="Times New Roman" w:eastAsia="Calibri" w:hAnsi="Times New Roman" w:cs="Times New Roman"/>
                <w:sz w:val="18"/>
                <w:szCs w:val="18"/>
                <w:lang w:val="en-US"/>
              </w:rPr>
            </w:pPr>
            <w:r w:rsidRPr="00556412">
              <w:rPr>
                <w:rFonts w:ascii="Times New Roman" w:eastAsia="Calibri" w:hAnsi="Times New Roman" w:cs="Times New Roman"/>
                <w:sz w:val="18"/>
                <w:szCs w:val="18"/>
                <w:lang w:val="en-US"/>
              </w:rPr>
              <w:t>Dispozita të Përgjithshme</w:t>
            </w:r>
          </w:p>
        </w:tc>
        <w:tc>
          <w:tcPr>
            <w:tcW w:w="976" w:type="dxa"/>
            <w:shd w:val="clear" w:color="auto" w:fill="92D050"/>
          </w:tcPr>
          <w:p w14:paraId="0477FAD4" w14:textId="77777777" w:rsidR="000A7EA3" w:rsidRPr="00556412" w:rsidRDefault="000A7EA3" w:rsidP="00556412">
            <w:pPr>
              <w:spacing w:line="240" w:lineRule="atLeast"/>
              <w:rPr>
                <w:rFonts w:ascii="Times New Roman" w:eastAsia="Calibri" w:hAnsi="Times New Roman" w:cs="Times New Roman"/>
                <w:sz w:val="18"/>
                <w:szCs w:val="18"/>
                <w:lang w:val="en-US"/>
              </w:rPr>
            </w:pPr>
          </w:p>
        </w:tc>
        <w:tc>
          <w:tcPr>
            <w:tcW w:w="3150" w:type="dxa"/>
            <w:shd w:val="clear" w:color="auto" w:fill="92D050"/>
          </w:tcPr>
          <w:p w14:paraId="09DE5223" w14:textId="77777777" w:rsidR="000A7EA3" w:rsidRPr="00556412" w:rsidRDefault="000A7EA3" w:rsidP="00556412">
            <w:pPr>
              <w:spacing w:line="240" w:lineRule="atLeast"/>
              <w:rPr>
                <w:rFonts w:ascii="Times New Roman" w:eastAsia="Calibri" w:hAnsi="Times New Roman" w:cs="Times New Roman"/>
                <w:sz w:val="18"/>
                <w:szCs w:val="18"/>
                <w:lang w:val="en-US"/>
              </w:rPr>
            </w:pPr>
          </w:p>
        </w:tc>
      </w:tr>
      <w:tr w:rsidR="00260632" w:rsidRPr="00556412" w14:paraId="6560FCB0" w14:textId="77777777" w:rsidTr="003C3604">
        <w:tc>
          <w:tcPr>
            <w:tcW w:w="540" w:type="dxa"/>
            <w:shd w:val="clear" w:color="auto" w:fill="F2F2F2"/>
          </w:tcPr>
          <w:p w14:paraId="2C6C40A7" w14:textId="77777777" w:rsidR="000A7EA3" w:rsidRPr="00556412" w:rsidRDefault="000A7EA3" w:rsidP="00556412">
            <w:pPr>
              <w:spacing w:line="240" w:lineRule="atLeast"/>
              <w:jc w:val="center"/>
              <w:rPr>
                <w:rFonts w:ascii="Times New Roman" w:eastAsia="Calibri" w:hAnsi="Times New Roman" w:cs="Times New Roman"/>
                <w:i/>
                <w:iCs/>
                <w:sz w:val="18"/>
                <w:szCs w:val="18"/>
                <w:lang w:val="en-US"/>
              </w:rPr>
            </w:pPr>
          </w:p>
        </w:tc>
        <w:tc>
          <w:tcPr>
            <w:tcW w:w="5400" w:type="dxa"/>
            <w:shd w:val="clear" w:color="auto" w:fill="F2F2F2"/>
          </w:tcPr>
          <w:p w14:paraId="1C29E68A" w14:textId="7B82E15E" w:rsidR="00462F38" w:rsidRPr="00556412" w:rsidRDefault="0041453F" w:rsidP="00556412">
            <w:pPr>
              <w:spacing w:line="240" w:lineRule="atLeast"/>
              <w:jc w:val="center"/>
              <w:rPr>
                <w:rFonts w:ascii="Times New Roman" w:hAnsi="Times New Roman" w:cs="Times New Roman"/>
                <w:sz w:val="18"/>
                <w:szCs w:val="18"/>
              </w:rPr>
            </w:pPr>
            <w:bookmarkStart w:id="0" w:name="articolul1"/>
            <w:bookmarkEnd w:id="0"/>
            <w:r w:rsidRPr="00556412">
              <w:rPr>
                <w:rFonts w:ascii="Times New Roman" w:hAnsi="Times New Roman" w:cs="Times New Roman"/>
                <w:sz w:val="18"/>
                <w:szCs w:val="18"/>
              </w:rPr>
              <w:t>Neni 1</w:t>
            </w:r>
          </w:p>
          <w:p w14:paraId="670CC483" w14:textId="41230BE0" w:rsidR="0041453F" w:rsidRPr="00556412" w:rsidRDefault="0041453F" w:rsidP="00556412">
            <w:pPr>
              <w:spacing w:line="240" w:lineRule="atLeast"/>
              <w:jc w:val="center"/>
              <w:rPr>
                <w:rFonts w:ascii="Times New Roman" w:hAnsi="Times New Roman" w:cs="Times New Roman"/>
                <w:sz w:val="18"/>
                <w:szCs w:val="18"/>
              </w:rPr>
            </w:pPr>
            <w:r w:rsidRPr="00556412">
              <w:rPr>
                <w:rFonts w:ascii="Times New Roman" w:hAnsi="Times New Roman" w:cs="Times New Roman"/>
                <w:sz w:val="18"/>
                <w:szCs w:val="18"/>
              </w:rPr>
              <w:t>Direktiva 2011/16/BE ndryshohet si më poshtë:</w:t>
            </w:r>
          </w:p>
          <w:p w14:paraId="4FF914BE" w14:textId="7A1302B7" w:rsidR="00990A3C" w:rsidRPr="00556412" w:rsidRDefault="00990A3C" w:rsidP="00556412">
            <w:pPr>
              <w:spacing w:line="240" w:lineRule="atLeast"/>
              <w:rPr>
                <w:rFonts w:ascii="Times New Roman" w:hAnsi="Times New Roman" w:cs="Times New Roman"/>
                <w:sz w:val="18"/>
                <w:szCs w:val="18"/>
              </w:rPr>
            </w:pPr>
          </w:p>
        </w:tc>
        <w:tc>
          <w:tcPr>
            <w:tcW w:w="540" w:type="dxa"/>
          </w:tcPr>
          <w:p w14:paraId="63FB219E" w14:textId="77777777" w:rsidR="000A7EA3" w:rsidRPr="00556412" w:rsidRDefault="000A7EA3" w:rsidP="00556412">
            <w:pPr>
              <w:spacing w:line="240" w:lineRule="atLeast"/>
              <w:rPr>
                <w:rFonts w:ascii="Times New Roman" w:eastAsia="Calibri" w:hAnsi="Times New Roman" w:cs="Times New Roman"/>
                <w:sz w:val="18"/>
                <w:szCs w:val="18"/>
              </w:rPr>
            </w:pPr>
          </w:p>
        </w:tc>
        <w:tc>
          <w:tcPr>
            <w:tcW w:w="630" w:type="dxa"/>
            <w:shd w:val="clear" w:color="auto" w:fill="F2F2F2"/>
          </w:tcPr>
          <w:p w14:paraId="373E1C1C" w14:textId="3802F198" w:rsidR="000A7EA3" w:rsidRPr="00556412" w:rsidRDefault="000A7EA3" w:rsidP="00556412">
            <w:pPr>
              <w:spacing w:line="240" w:lineRule="atLeast"/>
              <w:rPr>
                <w:rFonts w:ascii="Times New Roman" w:eastAsia="Calibri" w:hAnsi="Times New Roman" w:cs="Times New Roman"/>
                <w:sz w:val="18"/>
                <w:szCs w:val="18"/>
                <w:lang w:val="en-US"/>
              </w:rPr>
            </w:pPr>
          </w:p>
        </w:tc>
        <w:tc>
          <w:tcPr>
            <w:tcW w:w="4964" w:type="dxa"/>
            <w:shd w:val="clear" w:color="auto" w:fill="F2F2F2"/>
          </w:tcPr>
          <w:p w14:paraId="64C93E4E" w14:textId="449C89EF" w:rsidR="000A7EA3" w:rsidRPr="00556412" w:rsidRDefault="000A7EA3" w:rsidP="00556412">
            <w:pPr>
              <w:spacing w:line="240" w:lineRule="atLeast"/>
              <w:rPr>
                <w:rFonts w:ascii="Times New Roman" w:hAnsi="Times New Roman" w:cs="Times New Roman"/>
                <w:sz w:val="18"/>
                <w:szCs w:val="18"/>
              </w:rPr>
            </w:pPr>
          </w:p>
        </w:tc>
        <w:tc>
          <w:tcPr>
            <w:tcW w:w="976" w:type="dxa"/>
            <w:shd w:val="clear" w:color="auto" w:fill="F2F2F2"/>
          </w:tcPr>
          <w:p w14:paraId="176811E7" w14:textId="77777777" w:rsidR="000A7EA3" w:rsidRPr="00556412" w:rsidRDefault="000A7EA3" w:rsidP="00556412">
            <w:pPr>
              <w:spacing w:line="240" w:lineRule="atLeast"/>
              <w:jc w:val="center"/>
              <w:rPr>
                <w:rFonts w:ascii="Times New Roman" w:eastAsia="Calibri" w:hAnsi="Times New Roman" w:cs="Times New Roman"/>
                <w:sz w:val="18"/>
                <w:szCs w:val="18"/>
                <w:lang w:val="en-US"/>
              </w:rPr>
            </w:pPr>
          </w:p>
        </w:tc>
        <w:tc>
          <w:tcPr>
            <w:tcW w:w="3150" w:type="dxa"/>
            <w:shd w:val="clear" w:color="auto" w:fill="F2F2F2"/>
          </w:tcPr>
          <w:p w14:paraId="0E837D0C" w14:textId="77777777" w:rsidR="000A7EA3" w:rsidRPr="00556412" w:rsidRDefault="000A7EA3" w:rsidP="00556412">
            <w:pPr>
              <w:spacing w:line="240" w:lineRule="atLeast"/>
              <w:rPr>
                <w:rFonts w:ascii="Times New Roman" w:eastAsia="Calibri" w:hAnsi="Times New Roman" w:cs="Times New Roman"/>
                <w:sz w:val="18"/>
                <w:szCs w:val="18"/>
                <w:lang w:val="en-US"/>
              </w:rPr>
            </w:pPr>
          </w:p>
        </w:tc>
      </w:tr>
      <w:tr w:rsidR="00260632" w:rsidRPr="00556412" w14:paraId="7F6FBBB8" w14:textId="77777777" w:rsidTr="003C3604">
        <w:trPr>
          <w:trHeight w:val="1520"/>
        </w:trPr>
        <w:tc>
          <w:tcPr>
            <w:tcW w:w="540" w:type="dxa"/>
          </w:tcPr>
          <w:p w14:paraId="54CAE924" w14:textId="77777777" w:rsidR="000A7EA3" w:rsidRPr="00556412" w:rsidRDefault="000A7EA3" w:rsidP="00556412">
            <w:pPr>
              <w:spacing w:line="240" w:lineRule="atLeast"/>
              <w:jc w:val="both"/>
              <w:rPr>
                <w:rFonts w:ascii="Times New Roman" w:eastAsia="Calibri" w:hAnsi="Times New Roman" w:cs="Times New Roman"/>
                <w:sz w:val="18"/>
                <w:szCs w:val="18"/>
                <w:lang w:val="en-US"/>
              </w:rPr>
            </w:pPr>
            <w:r w:rsidRPr="00556412">
              <w:rPr>
                <w:rFonts w:ascii="Times New Roman" w:eastAsia="Calibri" w:hAnsi="Times New Roman" w:cs="Times New Roman"/>
                <w:sz w:val="18"/>
                <w:szCs w:val="18"/>
                <w:lang w:val="en-US"/>
              </w:rPr>
              <w:t>1</w:t>
            </w:r>
          </w:p>
        </w:tc>
        <w:tc>
          <w:tcPr>
            <w:tcW w:w="5400" w:type="dxa"/>
          </w:tcPr>
          <w:p w14:paraId="23C69800" w14:textId="77777777" w:rsidR="00266B43" w:rsidRPr="00556412" w:rsidRDefault="00266B43" w:rsidP="00556412">
            <w:pPr>
              <w:spacing w:line="240" w:lineRule="atLeast"/>
              <w:jc w:val="both"/>
              <w:rPr>
                <w:rFonts w:ascii="Times New Roman" w:eastAsia="Calibri" w:hAnsi="Times New Roman" w:cs="Times New Roman"/>
                <w:iCs/>
                <w:sz w:val="18"/>
                <w:szCs w:val="18"/>
                <w:lang w:val="en-US"/>
              </w:rPr>
            </w:pPr>
          </w:p>
          <w:p w14:paraId="306442F2" w14:textId="77777777" w:rsidR="0041453F" w:rsidRPr="00556412" w:rsidRDefault="0041453F" w:rsidP="00556412">
            <w:pPr>
              <w:pStyle w:val="NormalWeb"/>
              <w:spacing w:line="240" w:lineRule="atLeast"/>
              <w:rPr>
                <w:b/>
                <w:sz w:val="18"/>
                <w:szCs w:val="18"/>
              </w:rPr>
            </w:pPr>
            <w:r w:rsidRPr="00556412">
              <w:rPr>
                <w:rStyle w:val="Strong"/>
                <w:b w:val="0"/>
                <w:sz w:val="18"/>
                <w:szCs w:val="18"/>
              </w:rPr>
              <w:t>1) Neni 3 ndryshohet si më poshtë:</w:t>
            </w:r>
          </w:p>
          <w:p w14:paraId="11691938" w14:textId="77777777" w:rsidR="0041453F" w:rsidRPr="00556412" w:rsidRDefault="0041453F" w:rsidP="00556412">
            <w:pPr>
              <w:pStyle w:val="NormalWeb"/>
              <w:spacing w:line="240" w:lineRule="atLeast"/>
              <w:rPr>
                <w:sz w:val="18"/>
                <w:szCs w:val="18"/>
              </w:rPr>
            </w:pPr>
            <w:r w:rsidRPr="00556412">
              <w:rPr>
                <w:rStyle w:val="Strong"/>
                <w:b w:val="0"/>
                <w:sz w:val="18"/>
                <w:szCs w:val="18"/>
              </w:rPr>
              <w:t>(a) Pika 9 zëvendësohet me këtë tekst</w:t>
            </w:r>
            <w:r w:rsidRPr="00556412">
              <w:rPr>
                <w:rStyle w:val="Strong"/>
                <w:sz w:val="18"/>
                <w:szCs w:val="18"/>
              </w:rPr>
              <w:t>:</w:t>
            </w:r>
          </w:p>
          <w:p w14:paraId="07F92644" w14:textId="77777777" w:rsidR="0041453F" w:rsidRPr="00556412" w:rsidRDefault="0041453F" w:rsidP="00556412">
            <w:pPr>
              <w:pStyle w:val="NormalWeb"/>
              <w:spacing w:line="240" w:lineRule="atLeast"/>
              <w:rPr>
                <w:b/>
                <w:sz w:val="18"/>
                <w:szCs w:val="18"/>
              </w:rPr>
            </w:pPr>
            <w:r w:rsidRPr="00556412">
              <w:rPr>
                <w:rStyle w:val="Strong"/>
                <w:b w:val="0"/>
                <w:sz w:val="18"/>
                <w:szCs w:val="18"/>
              </w:rPr>
              <w:t>‘9. “shkëmbim automatik” nënkupton:</w:t>
            </w:r>
          </w:p>
          <w:p w14:paraId="5849D323" w14:textId="77777777" w:rsidR="0041453F" w:rsidRPr="00556412" w:rsidRDefault="0041453F" w:rsidP="00556412">
            <w:pPr>
              <w:spacing w:before="100" w:beforeAutospacing="1" w:after="100" w:afterAutospacing="1" w:line="240" w:lineRule="atLeast"/>
              <w:jc w:val="both"/>
              <w:rPr>
                <w:rFonts w:ascii="Times New Roman" w:eastAsia="Times New Roman" w:hAnsi="Times New Roman" w:cs="Times New Roman"/>
                <w:sz w:val="18"/>
                <w:szCs w:val="18"/>
              </w:rPr>
            </w:pPr>
            <w:r w:rsidRPr="00556412">
              <w:rPr>
                <w:rFonts w:ascii="Times New Roman" w:eastAsia="Times New Roman" w:hAnsi="Times New Roman" w:cs="Times New Roman"/>
                <w:bCs/>
                <w:sz w:val="18"/>
                <w:szCs w:val="18"/>
              </w:rPr>
              <w:lastRenderedPageBreak/>
              <w:t>a)</w:t>
            </w:r>
            <w:r w:rsidRPr="00556412">
              <w:rPr>
                <w:rFonts w:ascii="Times New Roman" w:eastAsia="Times New Roman" w:hAnsi="Times New Roman" w:cs="Times New Roman"/>
                <w:sz w:val="18"/>
                <w:szCs w:val="18"/>
              </w:rPr>
              <w:t xml:space="preserve"> për qëllimet e nenit 8(1) dhe nenit 8a, komunikimin sistematik të informacionit të paracaktuar tek një shtet tjetër anëtar, pa kërkesë paraprake, në intervale të rregullta të përcaktuara paraprakisht.</w:t>
            </w:r>
          </w:p>
          <w:p w14:paraId="2335C972" w14:textId="77777777" w:rsidR="0041453F" w:rsidRPr="00556412" w:rsidRDefault="0041453F" w:rsidP="00556412">
            <w:pPr>
              <w:spacing w:before="100" w:beforeAutospacing="1" w:after="100" w:afterAutospacing="1" w:line="240" w:lineRule="atLeast"/>
              <w:jc w:val="both"/>
              <w:rPr>
                <w:rFonts w:ascii="Times New Roman" w:eastAsia="Times New Roman" w:hAnsi="Times New Roman" w:cs="Times New Roman"/>
                <w:sz w:val="18"/>
                <w:szCs w:val="18"/>
              </w:rPr>
            </w:pPr>
            <w:r w:rsidRPr="00556412">
              <w:rPr>
                <w:rFonts w:ascii="Times New Roman" w:eastAsia="Times New Roman" w:hAnsi="Times New Roman" w:cs="Times New Roman"/>
                <w:sz w:val="18"/>
                <w:szCs w:val="18"/>
              </w:rPr>
              <w:t>Për qëllimet e nenit 8(1), referimi ndaj informacionit të disponueshëm lidhet me informacionin që gjendet në dosjet tatimore të shtetit anëtar që komunikon informacionin, i cili mund të merret në përputhje me procedurat për mbledhjen dhe përpunimin e informacionit në atë shtet anëtar;</w:t>
            </w:r>
          </w:p>
          <w:p w14:paraId="651B7E54" w14:textId="77777777" w:rsidR="0041453F" w:rsidRPr="00556412" w:rsidRDefault="0041453F" w:rsidP="00556412">
            <w:pPr>
              <w:spacing w:before="100" w:beforeAutospacing="1" w:after="100" w:afterAutospacing="1" w:line="240" w:lineRule="atLeast"/>
              <w:jc w:val="both"/>
              <w:rPr>
                <w:rFonts w:ascii="Times New Roman" w:eastAsia="Times New Roman" w:hAnsi="Times New Roman" w:cs="Times New Roman"/>
                <w:sz w:val="18"/>
                <w:szCs w:val="18"/>
              </w:rPr>
            </w:pPr>
            <w:r w:rsidRPr="00556412">
              <w:rPr>
                <w:rFonts w:ascii="Times New Roman" w:eastAsia="Times New Roman" w:hAnsi="Times New Roman" w:cs="Times New Roman"/>
                <w:bCs/>
                <w:sz w:val="18"/>
                <w:szCs w:val="18"/>
              </w:rPr>
              <w:t>(b)</w:t>
            </w:r>
            <w:r w:rsidRPr="00556412">
              <w:rPr>
                <w:rFonts w:ascii="Times New Roman" w:eastAsia="Times New Roman" w:hAnsi="Times New Roman" w:cs="Times New Roman"/>
                <w:sz w:val="18"/>
                <w:szCs w:val="18"/>
              </w:rPr>
              <w:t xml:space="preserve"> për qëllimet e nenit 8(3a), komunikimin sistematik të informacionit të paracaktuar mbi rezidentët në shtete të tjera anëtare tek shteti anëtar përkatës i rezidencës, pa kërkesë paraprake, në intervale të rregullta të përcaktuara paraprakisht.</w:t>
            </w:r>
          </w:p>
          <w:p w14:paraId="6ACA409E" w14:textId="77777777" w:rsidR="0041453F" w:rsidRPr="00556412" w:rsidRDefault="0041453F" w:rsidP="00556412">
            <w:pPr>
              <w:spacing w:before="100" w:beforeAutospacing="1" w:after="100" w:afterAutospacing="1" w:line="240" w:lineRule="atLeast"/>
              <w:jc w:val="both"/>
              <w:rPr>
                <w:rFonts w:ascii="Times New Roman" w:eastAsia="Times New Roman" w:hAnsi="Times New Roman" w:cs="Times New Roman"/>
                <w:sz w:val="18"/>
                <w:szCs w:val="18"/>
              </w:rPr>
            </w:pPr>
            <w:r w:rsidRPr="00556412">
              <w:rPr>
                <w:rFonts w:ascii="Times New Roman" w:eastAsia="Times New Roman" w:hAnsi="Times New Roman" w:cs="Times New Roman"/>
                <w:sz w:val="18"/>
                <w:szCs w:val="18"/>
              </w:rPr>
              <w:t>Në kuadrin e nenit 8(3a), nenit 8(7a), nenit 21(2) dhe nenit 25 pikat (2) dhe (3), çdo term i shkruar me shkronja të mëdha ka kuptimin që i jepet në përkufizimet përkatëse të parashikuara në Aneksin I;</w:t>
            </w:r>
          </w:p>
          <w:p w14:paraId="761B7D07" w14:textId="77777777" w:rsidR="0041453F" w:rsidRPr="00556412" w:rsidRDefault="0041453F" w:rsidP="00556412">
            <w:pPr>
              <w:spacing w:line="240" w:lineRule="atLeast"/>
              <w:jc w:val="both"/>
              <w:rPr>
                <w:rFonts w:ascii="Times New Roman" w:eastAsia="Times New Roman" w:hAnsi="Times New Roman" w:cs="Times New Roman"/>
                <w:sz w:val="18"/>
                <w:szCs w:val="18"/>
              </w:rPr>
            </w:pPr>
            <w:r w:rsidRPr="00556412">
              <w:rPr>
                <w:rFonts w:ascii="Times New Roman" w:eastAsia="Times New Roman" w:hAnsi="Times New Roman" w:cs="Times New Roman"/>
                <w:b/>
                <w:bCs/>
                <w:sz w:val="18"/>
                <w:szCs w:val="18"/>
              </w:rPr>
              <w:t>(c)</w:t>
            </w:r>
            <w:r w:rsidRPr="00556412">
              <w:rPr>
                <w:rFonts w:ascii="Times New Roman" w:eastAsia="Times New Roman" w:hAnsi="Times New Roman" w:cs="Times New Roman"/>
                <w:sz w:val="18"/>
                <w:szCs w:val="18"/>
              </w:rPr>
              <w:t xml:space="preserve"> për qëllimet e të gjitha dispozitave të kësaj Direktive, përveç neneve 8(1), 8(3a) dhe 8a, komunikimin sistematik të informacionit të paracaktuar, të dhënë në përputhje me shkronjat (a) dhe (b) të kësaj pike.’</w:t>
            </w:r>
          </w:p>
          <w:p w14:paraId="7C3DC146" w14:textId="1BE25D05" w:rsidR="0041453F" w:rsidRPr="00556412" w:rsidRDefault="0041453F" w:rsidP="00556412">
            <w:pPr>
              <w:pStyle w:val="NormalWeb"/>
              <w:spacing w:line="240" w:lineRule="atLeast"/>
              <w:jc w:val="both"/>
              <w:rPr>
                <w:sz w:val="18"/>
                <w:szCs w:val="18"/>
              </w:rPr>
            </w:pPr>
          </w:p>
          <w:p w14:paraId="1BBD5781" w14:textId="77777777" w:rsidR="00266B43" w:rsidRPr="00556412" w:rsidRDefault="00266B43" w:rsidP="00556412">
            <w:pPr>
              <w:spacing w:line="240" w:lineRule="atLeast"/>
              <w:jc w:val="both"/>
              <w:rPr>
                <w:rFonts w:ascii="Times New Roman" w:eastAsia="Calibri" w:hAnsi="Times New Roman" w:cs="Times New Roman"/>
                <w:iCs/>
                <w:sz w:val="18"/>
                <w:szCs w:val="18"/>
              </w:rPr>
            </w:pPr>
          </w:p>
          <w:p w14:paraId="075EF7ED" w14:textId="2B8B845B" w:rsidR="000A7EA3" w:rsidRPr="00556412" w:rsidRDefault="000A7EA3" w:rsidP="00556412">
            <w:pPr>
              <w:spacing w:line="240" w:lineRule="atLeast"/>
              <w:jc w:val="both"/>
              <w:rPr>
                <w:rFonts w:ascii="Times New Roman" w:eastAsia="Calibri" w:hAnsi="Times New Roman" w:cs="Times New Roman"/>
                <w:iCs/>
                <w:sz w:val="18"/>
                <w:szCs w:val="18"/>
              </w:rPr>
            </w:pPr>
          </w:p>
        </w:tc>
        <w:tc>
          <w:tcPr>
            <w:tcW w:w="540" w:type="dxa"/>
          </w:tcPr>
          <w:p w14:paraId="6D951FCC" w14:textId="7B0A04B6" w:rsidR="000A7EA3" w:rsidRPr="00556412" w:rsidRDefault="000A7EA3" w:rsidP="00556412">
            <w:pPr>
              <w:spacing w:line="240" w:lineRule="atLeast"/>
              <w:jc w:val="center"/>
              <w:rPr>
                <w:rFonts w:ascii="Times New Roman" w:eastAsia="Calibri" w:hAnsi="Times New Roman" w:cs="Times New Roman"/>
                <w:sz w:val="18"/>
                <w:szCs w:val="18"/>
              </w:rPr>
            </w:pPr>
            <w:r w:rsidRPr="00556412">
              <w:rPr>
                <w:rFonts w:ascii="Times New Roman" w:eastAsia="Calibri" w:hAnsi="Times New Roman" w:cs="Times New Roman"/>
                <w:sz w:val="18"/>
                <w:szCs w:val="18"/>
              </w:rPr>
              <w:lastRenderedPageBreak/>
              <w:t>1</w:t>
            </w:r>
          </w:p>
        </w:tc>
        <w:tc>
          <w:tcPr>
            <w:tcW w:w="630" w:type="dxa"/>
          </w:tcPr>
          <w:p w14:paraId="7B749314" w14:textId="6B933560" w:rsidR="000A7EA3" w:rsidRPr="00556412" w:rsidRDefault="00EC4617" w:rsidP="00556412">
            <w:pPr>
              <w:spacing w:line="240" w:lineRule="atLeast"/>
              <w:jc w:val="center"/>
              <w:rPr>
                <w:rFonts w:ascii="Times New Roman" w:eastAsia="Calibri" w:hAnsi="Times New Roman" w:cs="Times New Roman"/>
                <w:sz w:val="18"/>
                <w:szCs w:val="18"/>
                <w:lang w:val="en-US"/>
              </w:rPr>
            </w:pPr>
            <w:r w:rsidRPr="00556412">
              <w:rPr>
                <w:rFonts w:ascii="Times New Roman" w:eastAsia="Calibri" w:hAnsi="Times New Roman" w:cs="Times New Roman"/>
                <w:sz w:val="18"/>
                <w:szCs w:val="18"/>
                <w:lang w:val="en-US"/>
              </w:rPr>
              <w:t>N/A</w:t>
            </w:r>
          </w:p>
        </w:tc>
        <w:tc>
          <w:tcPr>
            <w:tcW w:w="4964" w:type="dxa"/>
          </w:tcPr>
          <w:p w14:paraId="3D793E70" w14:textId="77777777" w:rsidR="00FD7583" w:rsidRPr="00556412" w:rsidRDefault="00FD7583" w:rsidP="00556412">
            <w:pPr>
              <w:spacing w:line="240" w:lineRule="atLeast"/>
              <w:jc w:val="center"/>
              <w:rPr>
                <w:rFonts w:ascii="Times New Roman" w:eastAsia="Calibri" w:hAnsi="Times New Roman" w:cs="Times New Roman"/>
                <w:sz w:val="18"/>
                <w:szCs w:val="18"/>
              </w:rPr>
            </w:pPr>
          </w:p>
          <w:p w14:paraId="7D2CEC06" w14:textId="609C14C8" w:rsidR="000A7EA3" w:rsidRPr="00556412" w:rsidRDefault="009E0C89" w:rsidP="00556412">
            <w:pPr>
              <w:spacing w:line="240" w:lineRule="atLeast"/>
              <w:jc w:val="center"/>
              <w:rPr>
                <w:rFonts w:ascii="Times New Roman" w:eastAsia="Calibri" w:hAnsi="Times New Roman" w:cs="Times New Roman"/>
                <w:sz w:val="18"/>
                <w:szCs w:val="18"/>
              </w:rPr>
            </w:pPr>
            <w:r w:rsidRPr="00556412">
              <w:rPr>
                <w:rFonts w:ascii="Times New Roman" w:eastAsia="Calibri" w:hAnsi="Times New Roman" w:cs="Times New Roman"/>
                <w:sz w:val="18"/>
                <w:szCs w:val="18"/>
              </w:rPr>
              <w:t>N/A</w:t>
            </w:r>
          </w:p>
        </w:tc>
        <w:tc>
          <w:tcPr>
            <w:tcW w:w="976" w:type="dxa"/>
          </w:tcPr>
          <w:p w14:paraId="3F6791D3" w14:textId="1D2C47A1" w:rsidR="000A7EA3" w:rsidRPr="00556412" w:rsidRDefault="00EC4617" w:rsidP="00556412">
            <w:pPr>
              <w:spacing w:line="240" w:lineRule="atLeast"/>
              <w:jc w:val="center"/>
              <w:rPr>
                <w:rFonts w:ascii="Times New Roman" w:eastAsia="Calibri" w:hAnsi="Times New Roman" w:cs="Times New Roman"/>
                <w:sz w:val="18"/>
                <w:szCs w:val="18"/>
                <w:lang w:val="en-US"/>
              </w:rPr>
            </w:pPr>
            <w:r w:rsidRPr="00556412">
              <w:rPr>
                <w:rFonts w:ascii="Times New Roman" w:eastAsia="Calibri" w:hAnsi="Times New Roman" w:cs="Times New Roman"/>
                <w:sz w:val="18"/>
                <w:szCs w:val="18"/>
                <w:lang w:val="en-US"/>
              </w:rPr>
              <w:t>N/A</w:t>
            </w:r>
          </w:p>
        </w:tc>
        <w:tc>
          <w:tcPr>
            <w:tcW w:w="3150" w:type="dxa"/>
          </w:tcPr>
          <w:p w14:paraId="03521802" w14:textId="4C3DCC93" w:rsidR="000A7EA3" w:rsidRPr="00556412" w:rsidRDefault="00075CEE" w:rsidP="00556412">
            <w:pPr>
              <w:spacing w:line="240" w:lineRule="atLeast"/>
              <w:jc w:val="both"/>
              <w:rPr>
                <w:rFonts w:ascii="Times New Roman" w:eastAsia="Calibri" w:hAnsi="Times New Roman" w:cs="Times New Roman"/>
                <w:sz w:val="18"/>
                <w:szCs w:val="18"/>
                <w:lang w:val="en-US"/>
              </w:rPr>
            </w:pPr>
            <w:r w:rsidRPr="00556412">
              <w:rPr>
                <w:rFonts w:ascii="Times New Roman" w:eastAsia="Calibri" w:hAnsi="Times New Roman" w:cs="Times New Roman"/>
                <w:sz w:val="18"/>
                <w:szCs w:val="18"/>
                <w:lang w:val="en-US"/>
              </w:rPr>
              <w:t>Ë</w:t>
            </w:r>
            <w:r w:rsidR="00991E9A" w:rsidRPr="00556412">
              <w:rPr>
                <w:rFonts w:ascii="Times New Roman" w:eastAsia="Calibri" w:hAnsi="Times New Roman" w:cs="Times New Roman"/>
                <w:sz w:val="18"/>
                <w:szCs w:val="18"/>
                <w:lang w:val="en-US"/>
              </w:rPr>
              <w:t>sht</w:t>
            </w:r>
            <w:r w:rsidRPr="00556412">
              <w:rPr>
                <w:rFonts w:ascii="Times New Roman" w:eastAsia="Calibri" w:hAnsi="Times New Roman" w:cs="Times New Roman"/>
                <w:sz w:val="18"/>
                <w:szCs w:val="18"/>
                <w:lang w:val="en-US"/>
              </w:rPr>
              <w:t>ë</w:t>
            </w:r>
            <w:r w:rsidR="00991E9A" w:rsidRPr="00556412">
              <w:rPr>
                <w:rFonts w:ascii="Times New Roman" w:eastAsia="Calibri" w:hAnsi="Times New Roman" w:cs="Times New Roman"/>
                <w:sz w:val="18"/>
                <w:szCs w:val="18"/>
                <w:lang w:val="en-US"/>
              </w:rPr>
              <w:t xml:space="preserve"> amendim q</w:t>
            </w:r>
            <w:r w:rsidRPr="00556412">
              <w:rPr>
                <w:rFonts w:ascii="Times New Roman" w:eastAsia="Calibri" w:hAnsi="Times New Roman" w:cs="Times New Roman"/>
                <w:sz w:val="18"/>
                <w:szCs w:val="18"/>
                <w:lang w:val="en-US"/>
              </w:rPr>
              <w:t>ë</w:t>
            </w:r>
            <w:r w:rsidR="00991E9A" w:rsidRPr="00556412">
              <w:rPr>
                <w:rFonts w:ascii="Times New Roman" w:eastAsia="Calibri" w:hAnsi="Times New Roman" w:cs="Times New Roman"/>
                <w:sz w:val="18"/>
                <w:szCs w:val="18"/>
                <w:lang w:val="en-US"/>
              </w:rPr>
              <w:t xml:space="preserve"> </w:t>
            </w:r>
            <w:r w:rsidR="00FE067A" w:rsidRPr="00556412">
              <w:rPr>
                <w:rFonts w:ascii="Times New Roman" w:eastAsia="Calibri" w:hAnsi="Times New Roman" w:cs="Times New Roman"/>
                <w:sz w:val="18"/>
                <w:szCs w:val="18"/>
                <w:lang w:val="en-US"/>
              </w:rPr>
              <w:t>i</w:t>
            </w:r>
            <w:r w:rsidR="00991E9A" w:rsidRPr="00556412">
              <w:rPr>
                <w:rFonts w:ascii="Times New Roman" w:eastAsia="Calibri" w:hAnsi="Times New Roman" w:cs="Times New Roman"/>
                <w:sz w:val="18"/>
                <w:szCs w:val="18"/>
                <w:lang w:val="en-US"/>
              </w:rPr>
              <w:t xml:space="preserve"> b</w:t>
            </w:r>
            <w:r w:rsidRPr="00556412">
              <w:rPr>
                <w:rFonts w:ascii="Times New Roman" w:eastAsia="Calibri" w:hAnsi="Times New Roman" w:cs="Times New Roman"/>
                <w:sz w:val="18"/>
                <w:szCs w:val="18"/>
                <w:lang w:val="en-US"/>
              </w:rPr>
              <w:t>ë</w:t>
            </w:r>
            <w:r w:rsidR="00991E9A" w:rsidRPr="00556412">
              <w:rPr>
                <w:rFonts w:ascii="Times New Roman" w:eastAsia="Calibri" w:hAnsi="Times New Roman" w:cs="Times New Roman"/>
                <w:sz w:val="18"/>
                <w:szCs w:val="18"/>
                <w:lang w:val="en-US"/>
              </w:rPr>
              <w:t>het p</w:t>
            </w:r>
            <w:r w:rsidRPr="00556412">
              <w:rPr>
                <w:rFonts w:ascii="Times New Roman" w:eastAsia="Calibri" w:hAnsi="Times New Roman" w:cs="Times New Roman"/>
                <w:sz w:val="18"/>
                <w:szCs w:val="18"/>
                <w:lang w:val="en-US"/>
              </w:rPr>
              <w:t>ë</w:t>
            </w:r>
            <w:r w:rsidR="00991E9A" w:rsidRPr="00556412">
              <w:rPr>
                <w:rFonts w:ascii="Times New Roman" w:eastAsia="Calibri" w:hAnsi="Times New Roman" w:cs="Times New Roman"/>
                <w:sz w:val="18"/>
                <w:szCs w:val="18"/>
                <w:lang w:val="en-US"/>
              </w:rPr>
              <w:t>rkufizimit t</w:t>
            </w:r>
            <w:r w:rsidRPr="00556412">
              <w:rPr>
                <w:rFonts w:ascii="Times New Roman" w:eastAsia="Calibri" w:hAnsi="Times New Roman" w:cs="Times New Roman"/>
                <w:sz w:val="18"/>
                <w:szCs w:val="18"/>
                <w:lang w:val="en-US"/>
              </w:rPr>
              <w:t>ë</w:t>
            </w:r>
            <w:r w:rsidR="00991E9A" w:rsidRPr="00556412">
              <w:rPr>
                <w:rFonts w:ascii="Times New Roman" w:eastAsia="Calibri" w:hAnsi="Times New Roman" w:cs="Times New Roman"/>
                <w:sz w:val="18"/>
                <w:szCs w:val="18"/>
                <w:lang w:val="en-US"/>
              </w:rPr>
              <w:t>: shk</w:t>
            </w:r>
            <w:r w:rsidRPr="00556412">
              <w:rPr>
                <w:rFonts w:ascii="Times New Roman" w:eastAsia="Calibri" w:hAnsi="Times New Roman" w:cs="Times New Roman"/>
                <w:sz w:val="18"/>
                <w:szCs w:val="18"/>
                <w:lang w:val="en-US"/>
              </w:rPr>
              <w:t>ë</w:t>
            </w:r>
            <w:r w:rsidR="00991E9A" w:rsidRPr="00556412">
              <w:rPr>
                <w:rFonts w:ascii="Times New Roman" w:eastAsia="Calibri" w:hAnsi="Times New Roman" w:cs="Times New Roman"/>
                <w:sz w:val="18"/>
                <w:szCs w:val="18"/>
                <w:lang w:val="en-US"/>
              </w:rPr>
              <w:t>mbimit automati</w:t>
            </w:r>
            <w:r w:rsidR="00FE067A" w:rsidRPr="00556412">
              <w:rPr>
                <w:rFonts w:ascii="Times New Roman" w:eastAsia="Calibri" w:hAnsi="Times New Roman" w:cs="Times New Roman"/>
                <w:sz w:val="18"/>
                <w:szCs w:val="18"/>
                <w:lang w:val="en-US"/>
              </w:rPr>
              <w:t>k</w:t>
            </w:r>
            <w:r w:rsidR="00991E9A" w:rsidRPr="00556412">
              <w:rPr>
                <w:rFonts w:ascii="Times New Roman" w:eastAsia="Calibri" w:hAnsi="Times New Roman" w:cs="Times New Roman"/>
                <w:sz w:val="18"/>
                <w:szCs w:val="18"/>
                <w:lang w:val="en-US"/>
              </w:rPr>
              <w:t xml:space="preserve"> t</w:t>
            </w:r>
            <w:r w:rsidRPr="00556412">
              <w:rPr>
                <w:rFonts w:ascii="Times New Roman" w:eastAsia="Calibri" w:hAnsi="Times New Roman" w:cs="Times New Roman"/>
                <w:sz w:val="18"/>
                <w:szCs w:val="18"/>
                <w:lang w:val="en-US"/>
              </w:rPr>
              <w:t>ë</w:t>
            </w:r>
            <w:r w:rsidR="00991E9A" w:rsidRPr="00556412">
              <w:rPr>
                <w:rFonts w:ascii="Times New Roman" w:eastAsia="Calibri" w:hAnsi="Times New Roman" w:cs="Times New Roman"/>
                <w:sz w:val="18"/>
                <w:szCs w:val="18"/>
                <w:lang w:val="en-US"/>
              </w:rPr>
              <w:t xml:space="preserve"> inf</w:t>
            </w:r>
            <w:r w:rsidRPr="00556412">
              <w:rPr>
                <w:rFonts w:ascii="Times New Roman" w:eastAsia="Calibri" w:hAnsi="Times New Roman" w:cs="Times New Roman"/>
                <w:sz w:val="18"/>
                <w:szCs w:val="18"/>
                <w:lang w:val="en-US"/>
              </w:rPr>
              <w:t>or</w:t>
            </w:r>
            <w:r w:rsidR="00991E9A" w:rsidRPr="00556412">
              <w:rPr>
                <w:rFonts w:ascii="Times New Roman" w:eastAsia="Calibri" w:hAnsi="Times New Roman" w:cs="Times New Roman"/>
                <w:sz w:val="18"/>
                <w:szCs w:val="18"/>
                <w:lang w:val="en-US"/>
              </w:rPr>
              <w:t xml:space="preserve">macionit, kjo </w:t>
            </w:r>
            <w:r w:rsidRPr="00556412">
              <w:rPr>
                <w:rFonts w:ascii="Times New Roman" w:eastAsia="Calibri" w:hAnsi="Times New Roman" w:cs="Times New Roman"/>
                <w:sz w:val="18"/>
                <w:szCs w:val="18"/>
                <w:lang w:val="en-US"/>
              </w:rPr>
              <w:t>ë</w:t>
            </w:r>
            <w:r w:rsidR="00991E9A" w:rsidRPr="00556412">
              <w:rPr>
                <w:rFonts w:ascii="Times New Roman" w:eastAsia="Calibri" w:hAnsi="Times New Roman" w:cs="Times New Roman"/>
                <w:sz w:val="18"/>
                <w:szCs w:val="18"/>
                <w:lang w:val="en-US"/>
              </w:rPr>
              <w:t>sht</w:t>
            </w:r>
            <w:r w:rsidRPr="00556412">
              <w:rPr>
                <w:rFonts w:ascii="Times New Roman" w:eastAsia="Calibri" w:hAnsi="Times New Roman" w:cs="Times New Roman"/>
                <w:sz w:val="18"/>
                <w:szCs w:val="18"/>
                <w:lang w:val="en-US"/>
              </w:rPr>
              <w:t>ë</w:t>
            </w:r>
            <w:r w:rsidR="00991E9A" w:rsidRPr="00556412">
              <w:rPr>
                <w:rFonts w:ascii="Times New Roman" w:eastAsia="Calibri" w:hAnsi="Times New Roman" w:cs="Times New Roman"/>
                <w:sz w:val="18"/>
                <w:szCs w:val="18"/>
                <w:lang w:val="en-US"/>
              </w:rPr>
              <w:t xml:space="preserve"> e parashikuar n</w:t>
            </w:r>
            <w:r w:rsidRPr="00556412">
              <w:rPr>
                <w:rFonts w:ascii="Times New Roman" w:eastAsia="Calibri" w:hAnsi="Times New Roman" w:cs="Times New Roman"/>
                <w:sz w:val="18"/>
                <w:szCs w:val="18"/>
                <w:lang w:val="en-US"/>
              </w:rPr>
              <w:t>ë</w:t>
            </w:r>
            <w:r w:rsidR="00991E9A" w:rsidRPr="00556412">
              <w:rPr>
                <w:rFonts w:ascii="Times New Roman" w:eastAsia="Calibri" w:hAnsi="Times New Roman" w:cs="Times New Roman"/>
                <w:sz w:val="18"/>
                <w:szCs w:val="18"/>
                <w:lang w:val="en-US"/>
              </w:rPr>
              <w:t xml:space="preserve"> DAC e p</w:t>
            </w:r>
            <w:r w:rsidRPr="00556412">
              <w:rPr>
                <w:rFonts w:ascii="Times New Roman" w:eastAsia="Calibri" w:hAnsi="Times New Roman" w:cs="Times New Roman"/>
                <w:sz w:val="18"/>
                <w:szCs w:val="18"/>
                <w:lang w:val="en-US"/>
              </w:rPr>
              <w:t>ë</w:t>
            </w:r>
            <w:r w:rsidR="00991E9A" w:rsidRPr="00556412">
              <w:rPr>
                <w:rFonts w:ascii="Times New Roman" w:eastAsia="Calibri" w:hAnsi="Times New Roman" w:cs="Times New Roman"/>
                <w:sz w:val="18"/>
                <w:szCs w:val="18"/>
                <w:lang w:val="en-US"/>
              </w:rPr>
              <w:t>rgjithsh</w:t>
            </w:r>
            <w:r w:rsidRPr="00556412">
              <w:rPr>
                <w:rFonts w:ascii="Times New Roman" w:eastAsia="Calibri" w:hAnsi="Times New Roman" w:cs="Times New Roman"/>
                <w:sz w:val="18"/>
                <w:szCs w:val="18"/>
                <w:lang w:val="en-US"/>
              </w:rPr>
              <w:t>ë</w:t>
            </w:r>
            <w:r w:rsidR="00991E9A" w:rsidRPr="00556412">
              <w:rPr>
                <w:rFonts w:ascii="Times New Roman" w:eastAsia="Calibri" w:hAnsi="Times New Roman" w:cs="Times New Roman"/>
                <w:sz w:val="18"/>
                <w:szCs w:val="18"/>
                <w:lang w:val="en-US"/>
              </w:rPr>
              <w:t>m</w:t>
            </w:r>
            <w:r w:rsidR="00FE067A" w:rsidRPr="00556412">
              <w:rPr>
                <w:rFonts w:ascii="Times New Roman" w:eastAsia="Calibri" w:hAnsi="Times New Roman" w:cs="Times New Roman"/>
                <w:sz w:val="18"/>
                <w:szCs w:val="18"/>
                <w:lang w:val="en-US"/>
              </w:rPr>
              <w:t xml:space="preserve"> neni 2 pika 12</w:t>
            </w:r>
            <w:r w:rsidR="00991E9A" w:rsidRPr="00556412">
              <w:rPr>
                <w:rFonts w:ascii="Times New Roman" w:eastAsia="Calibri" w:hAnsi="Times New Roman" w:cs="Times New Roman"/>
                <w:sz w:val="18"/>
                <w:szCs w:val="18"/>
                <w:lang w:val="en-US"/>
              </w:rPr>
              <w:t xml:space="preserve">. </w:t>
            </w:r>
          </w:p>
        </w:tc>
      </w:tr>
      <w:tr w:rsidR="003C045B" w:rsidRPr="00556412" w14:paraId="6F796DB6" w14:textId="77777777" w:rsidTr="003C3604">
        <w:trPr>
          <w:trHeight w:val="278"/>
        </w:trPr>
        <w:tc>
          <w:tcPr>
            <w:tcW w:w="540" w:type="dxa"/>
            <w:shd w:val="clear" w:color="auto" w:fill="F2F2F2"/>
          </w:tcPr>
          <w:p w14:paraId="78A89E6F" w14:textId="77777777" w:rsidR="003C045B" w:rsidRPr="00556412" w:rsidRDefault="003C045B" w:rsidP="00556412">
            <w:pPr>
              <w:spacing w:line="240" w:lineRule="atLeast"/>
              <w:jc w:val="center"/>
              <w:rPr>
                <w:rFonts w:ascii="Times New Roman" w:eastAsia="Calibri" w:hAnsi="Times New Roman" w:cs="Times New Roman"/>
                <w:i/>
                <w:sz w:val="18"/>
                <w:szCs w:val="18"/>
              </w:rPr>
            </w:pPr>
          </w:p>
        </w:tc>
        <w:tc>
          <w:tcPr>
            <w:tcW w:w="5400" w:type="dxa"/>
            <w:shd w:val="clear" w:color="auto" w:fill="F2F2F2"/>
          </w:tcPr>
          <w:p w14:paraId="4B03CEB1" w14:textId="10BD6360" w:rsidR="00534507" w:rsidRPr="00556412" w:rsidRDefault="00534507" w:rsidP="00556412">
            <w:pPr>
              <w:spacing w:line="240" w:lineRule="atLeast"/>
              <w:rPr>
                <w:rFonts w:ascii="Times New Roman" w:hAnsi="Times New Roman" w:cs="Times New Roman"/>
                <w:sz w:val="18"/>
                <w:szCs w:val="18"/>
              </w:rPr>
            </w:pPr>
          </w:p>
          <w:p w14:paraId="4FC28678" w14:textId="74AD9902" w:rsidR="00217F04" w:rsidRPr="00556412" w:rsidRDefault="00217F04" w:rsidP="00556412">
            <w:pPr>
              <w:spacing w:line="240" w:lineRule="atLeast"/>
              <w:rPr>
                <w:rFonts w:ascii="Times New Roman" w:hAnsi="Times New Roman" w:cs="Times New Roman"/>
                <w:sz w:val="18"/>
                <w:szCs w:val="18"/>
              </w:rPr>
            </w:pPr>
          </w:p>
          <w:p w14:paraId="42D3E5C0" w14:textId="77777777" w:rsidR="00217F04" w:rsidRPr="00556412" w:rsidRDefault="00217F04" w:rsidP="00556412">
            <w:pPr>
              <w:spacing w:line="240" w:lineRule="atLeast"/>
              <w:rPr>
                <w:rFonts w:ascii="Times New Roman" w:hAnsi="Times New Roman" w:cs="Times New Roman"/>
                <w:sz w:val="18"/>
                <w:szCs w:val="18"/>
              </w:rPr>
            </w:pPr>
          </w:p>
          <w:p w14:paraId="7FDDF1E0" w14:textId="00951BBC" w:rsidR="00217F04" w:rsidRPr="00556412" w:rsidRDefault="00217F04" w:rsidP="00556412">
            <w:pPr>
              <w:spacing w:line="240" w:lineRule="atLeast"/>
              <w:jc w:val="both"/>
              <w:rPr>
                <w:rFonts w:ascii="Times New Roman" w:eastAsia="Times New Roman" w:hAnsi="Times New Roman" w:cs="Times New Roman"/>
                <w:sz w:val="18"/>
                <w:szCs w:val="18"/>
              </w:rPr>
            </w:pPr>
            <w:r w:rsidRPr="00556412">
              <w:rPr>
                <w:rFonts w:ascii="Times New Roman" w:hAnsi="Times New Roman" w:cs="Times New Roman"/>
                <w:sz w:val="18"/>
                <w:szCs w:val="18"/>
              </w:rPr>
              <w:t>14.</w:t>
            </w:r>
            <w:r w:rsidRPr="00556412">
              <w:rPr>
                <w:rFonts w:ascii="Times New Roman" w:eastAsia="Times New Roman" w:hAnsi="Times New Roman" w:cs="Times New Roman"/>
                <w:b/>
                <w:bCs/>
                <w:sz w:val="18"/>
                <w:szCs w:val="18"/>
              </w:rPr>
              <w:t xml:space="preserve"> “vendim paraprak ndërkufitar</w:t>
            </w:r>
            <w:r w:rsidRPr="00556412">
              <w:rPr>
                <w:rFonts w:ascii="Times New Roman" w:eastAsia="Times New Roman" w:hAnsi="Times New Roman" w:cs="Times New Roman"/>
                <w:bCs/>
                <w:sz w:val="18"/>
                <w:szCs w:val="18"/>
              </w:rPr>
              <w:t>” nënkupton</w:t>
            </w:r>
            <w:r w:rsidRPr="00556412">
              <w:rPr>
                <w:rFonts w:ascii="Times New Roman" w:eastAsia="Times New Roman" w:hAnsi="Times New Roman" w:cs="Times New Roman"/>
                <w:sz w:val="18"/>
                <w:szCs w:val="18"/>
              </w:rPr>
              <w:t xml:space="preserve"> çdo marrëveshje, komunikim, apo çdo instrument ose veprim tjetër me efekte të ngjashme, </w:t>
            </w:r>
            <w:r w:rsidRPr="00556412">
              <w:rPr>
                <w:rFonts w:ascii="Times New Roman" w:eastAsia="Times New Roman" w:hAnsi="Times New Roman" w:cs="Times New Roman"/>
                <w:sz w:val="18"/>
                <w:szCs w:val="18"/>
              </w:rPr>
              <w:lastRenderedPageBreak/>
              <w:t>përfshirë edhe atë të lëshuar, ndryshuar ose rinovuar në kuadrin e një kontrolli tatimor, dhe që plotëson kushtet e mëposhtme:</w:t>
            </w:r>
          </w:p>
          <w:p w14:paraId="372E9AB3" w14:textId="77777777" w:rsidR="00534507" w:rsidRPr="00556412" w:rsidRDefault="00534507" w:rsidP="00556412">
            <w:pPr>
              <w:spacing w:line="240" w:lineRule="atLeast"/>
              <w:rPr>
                <w:rFonts w:ascii="Times New Roman" w:hAnsi="Times New Roman" w:cs="Times New Roman"/>
                <w:sz w:val="18"/>
                <w:szCs w:val="18"/>
              </w:rPr>
            </w:pPr>
          </w:p>
          <w:p w14:paraId="2A8F4B1E" w14:textId="7C1798D2" w:rsidR="00534507" w:rsidRPr="00556412" w:rsidRDefault="00534507" w:rsidP="00556412">
            <w:pPr>
              <w:spacing w:line="240" w:lineRule="atLeast"/>
              <w:jc w:val="both"/>
              <w:rPr>
                <w:rFonts w:ascii="Times New Roman" w:eastAsia="Times New Roman" w:hAnsi="Times New Roman" w:cs="Times New Roman"/>
                <w:sz w:val="18"/>
                <w:szCs w:val="18"/>
              </w:rPr>
            </w:pPr>
            <w:r w:rsidRPr="00556412">
              <w:rPr>
                <w:rFonts w:ascii="Times New Roman" w:hAnsi="Times New Roman" w:cs="Times New Roman"/>
                <w:sz w:val="18"/>
                <w:szCs w:val="18"/>
              </w:rPr>
              <w:t xml:space="preserve"> </w:t>
            </w:r>
            <w:r w:rsidR="00217F04" w:rsidRPr="00556412">
              <w:rPr>
                <w:rFonts w:ascii="Times New Roman" w:eastAsia="Times New Roman" w:hAnsi="Times New Roman" w:cs="Times New Roman"/>
                <w:bCs/>
                <w:sz w:val="18"/>
                <w:szCs w:val="18"/>
              </w:rPr>
              <w:t>(a)</w:t>
            </w:r>
            <w:r w:rsidR="00217F04" w:rsidRPr="00556412">
              <w:rPr>
                <w:rFonts w:ascii="Times New Roman" w:eastAsia="Times New Roman" w:hAnsi="Times New Roman" w:cs="Times New Roman"/>
                <w:sz w:val="18"/>
                <w:szCs w:val="18"/>
              </w:rPr>
              <w:t xml:space="preserve"> është lëshuar, ndryshuar ose rinovuar nga, ose në emër të, qeverisë ose autoritetit tatimor të një shteti anëtar, apo nga ndarjet territoriale ose administrative të këtij shteti anëtar, përfshirë autoritetet vendore, pavarësisht nëse përdoret efektivisht apo jo;</w:t>
            </w:r>
          </w:p>
          <w:p w14:paraId="038011CA" w14:textId="304EB331" w:rsidR="00534507" w:rsidRPr="00556412" w:rsidRDefault="00534507" w:rsidP="00556412">
            <w:pPr>
              <w:spacing w:line="240" w:lineRule="atLeast"/>
              <w:jc w:val="both"/>
              <w:rPr>
                <w:rFonts w:ascii="Times New Roman" w:eastAsia="Times New Roman" w:hAnsi="Times New Roman" w:cs="Times New Roman"/>
                <w:sz w:val="18"/>
                <w:szCs w:val="18"/>
              </w:rPr>
            </w:pPr>
            <w:r w:rsidRPr="00556412">
              <w:rPr>
                <w:rFonts w:ascii="Times New Roman" w:hAnsi="Times New Roman" w:cs="Times New Roman"/>
                <w:sz w:val="18"/>
                <w:szCs w:val="18"/>
              </w:rPr>
              <w:t xml:space="preserve">(b) </w:t>
            </w:r>
            <w:r w:rsidR="00217F04" w:rsidRPr="00556412">
              <w:rPr>
                <w:rFonts w:ascii="Times New Roman" w:eastAsia="Times New Roman" w:hAnsi="Times New Roman" w:cs="Times New Roman"/>
                <w:sz w:val="18"/>
                <w:szCs w:val="18"/>
              </w:rPr>
              <w:t>është lëshuar, ndryshuar ose rinovuar për një person të veçantë ose një grup personash dhe mbi të cilin ky person ose ky grup personash ka të drejtë të mbështetet;</w:t>
            </w:r>
          </w:p>
          <w:p w14:paraId="63373691" w14:textId="2DB9E7F8" w:rsidR="00534507" w:rsidRPr="00556412" w:rsidRDefault="00534507" w:rsidP="00556412">
            <w:pPr>
              <w:spacing w:line="240" w:lineRule="atLeast"/>
              <w:jc w:val="both"/>
              <w:rPr>
                <w:rFonts w:ascii="Times New Roman" w:eastAsia="Times New Roman" w:hAnsi="Times New Roman" w:cs="Times New Roman"/>
                <w:sz w:val="18"/>
                <w:szCs w:val="18"/>
              </w:rPr>
            </w:pPr>
            <w:r w:rsidRPr="00556412">
              <w:rPr>
                <w:rFonts w:ascii="Times New Roman" w:hAnsi="Times New Roman" w:cs="Times New Roman"/>
                <w:sz w:val="18"/>
                <w:szCs w:val="18"/>
              </w:rPr>
              <w:t xml:space="preserve"> </w:t>
            </w:r>
            <w:r w:rsidR="00217F04" w:rsidRPr="00556412">
              <w:rPr>
                <w:rFonts w:ascii="Times New Roman" w:eastAsia="Times New Roman" w:hAnsi="Times New Roman" w:cs="Times New Roman"/>
                <w:bCs/>
                <w:sz w:val="18"/>
                <w:szCs w:val="18"/>
              </w:rPr>
              <w:t>(c)</w:t>
            </w:r>
            <w:r w:rsidR="00217F04" w:rsidRPr="00556412">
              <w:rPr>
                <w:rFonts w:ascii="Times New Roman" w:eastAsia="Times New Roman" w:hAnsi="Times New Roman" w:cs="Times New Roman"/>
                <w:sz w:val="18"/>
                <w:szCs w:val="18"/>
              </w:rPr>
              <w:t xml:space="preserve"> ka të bëjë me interpretimin ose zbatimin e një dispozite ligjore ose administrative në lidhje me administrimin ose zbatimin e ligjeve kombëtare në fushën e tatimeve të shtetit anëtar, apo të ndarjeve territoriale ose administrative të tij, përfshirë autoritetet vendore;</w:t>
            </w:r>
          </w:p>
          <w:p w14:paraId="1C718F1E" w14:textId="3691A68A" w:rsidR="00534507" w:rsidRPr="00556412" w:rsidRDefault="00217F04" w:rsidP="00556412">
            <w:pPr>
              <w:spacing w:line="240" w:lineRule="atLeast"/>
              <w:jc w:val="both"/>
              <w:rPr>
                <w:rFonts w:ascii="Times New Roman" w:eastAsia="Times New Roman" w:hAnsi="Times New Roman" w:cs="Times New Roman"/>
                <w:sz w:val="18"/>
                <w:szCs w:val="18"/>
              </w:rPr>
            </w:pPr>
            <w:r w:rsidRPr="00556412">
              <w:rPr>
                <w:rFonts w:ascii="Times New Roman" w:eastAsia="Times New Roman" w:hAnsi="Times New Roman" w:cs="Times New Roman"/>
                <w:sz w:val="18"/>
                <w:szCs w:val="18"/>
              </w:rPr>
              <w:t>(d) lidhet me një transaksion ndërkufitar, ose me çështjen nëse aktivitetet e kryera nga një person në një juridiksion tjetër krijojnë ose jo një seli të përhershme, apo me çështjen nëse një person fizik është ose jo rezident për qëllime tatimore në shtetin anëtar që lëshon vendimin; dhe</w:t>
            </w:r>
          </w:p>
          <w:p w14:paraId="31EB9A77" w14:textId="77777777" w:rsidR="00217F04" w:rsidRPr="00556412" w:rsidRDefault="00534507" w:rsidP="00556412">
            <w:pPr>
              <w:spacing w:line="240" w:lineRule="atLeast"/>
              <w:jc w:val="both"/>
              <w:rPr>
                <w:rFonts w:ascii="Times New Roman" w:eastAsia="Times New Roman" w:hAnsi="Times New Roman" w:cs="Times New Roman"/>
                <w:sz w:val="18"/>
                <w:szCs w:val="18"/>
              </w:rPr>
            </w:pPr>
            <w:r w:rsidRPr="00556412">
              <w:rPr>
                <w:rFonts w:ascii="Times New Roman" w:hAnsi="Times New Roman" w:cs="Times New Roman"/>
                <w:sz w:val="18"/>
                <w:szCs w:val="18"/>
              </w:rPr>
              <w:t xml:space="preserve">(e) </w:t>
            </w:r>
            <w:r w:rsidR="00217F04" w:rsidRPr="00556412">
              <w:rPr>
                <w:rFonts w:ascii="Times New Roman" w:eastAsia="Times New Roman" w:hAnsi="Times New Roman" w:cs="Times New Roman"/>
                <w:sz w:val="18"/>
                <w:szCs w:val="18"/>
              </w:rPr>
              <w:t>jepet përpara kryerjes së transaksioneve ose të aktiviteteve në një juridiksion tjetër që potencialisht krijojnë një seli të përhershme, ose përpara paraqitjes së një deklarate tatimore që mbulon periudhën gjatë së cilës ka ndodhur transaksioni, seria e transaksioneve ose aktivitetet përkatëse.</w:t>
            </w:r>
          </w:p>
          <w:p w14:paraId="005DD206" w14:textId="77777777" w:rsidR="00534507" w:rsidRPr="00556412" w:rsidRDefault="00534507" w:rsidP="00556412">
            <w:pPr>
              <w:spacing w:line="240" w:lineRule="atLeast"/>
              <w:rPr>
                <w:rFonts w:ascii="Times New Roman" w:hAnsi="Times New Roman" w:cs="Times New Roman"/>
                <w:sz w:val="18"/>
                <w:szCs w:val="18"/>
              </w:rPr>
            </w:pPr>
          </w:p>
          <w:p w14:paraId="262D1C61" w14:textId="77777777" w:rsidR="00217F04" w:rsidRPr="00556412" w:rsidRDefault="00217F04" w:rsidP="00556412">
            <w:pPr>
              <w:spacing w:line="240" w:lineRule="atLeast"/>
              <w:jc w:val="both"/>
              <w:rPr>
                <w:rFonts w:ascii="Times New Roman" w:eastAsia="Times New Roman" w:hAnsi="Times New Roman" w:cs="Times New Roman"/>
                <w:sz w:val="18"/>
                <w:szCs w:val="18"/>
              </w:rPr>
            </w:pPr>
            <w:r w:rsidRPr="00556412">
              <w:rPr>
                <w:rFonts w:ascii="Times New Roman" w:eastAsia="Times New Roman" w:hAnsi="Times New Roman" w:cs="Times New Roman"/>
                <w:sz w:val="18"/>
                <w:szCs w:val="18"/>
              </w:rPr>
              <w:t>Transaksioni ndërkufitar mund të përfshijë, por nuk kufizohet vetëm në, kryerjen e investimeve, ofrimin e mallrave, shërbimeve, financimeve ose përdorimin e aseteve të prekshme ose të paprekshme dhe nuk është e nevojshme që të përfshijë drejtpërdrejt personin që merr vendimin paraprak ndërkufitar</w:t>
            </w:r>
          </w:p>
          <w:p w14:paraId="77D30394" w14:textId="7A939215" w:rsidR="003C045B" w:rsidRPr="00556412" w:rsidRDefault="003C045B" w:rsidP="00556412">
            <w:pPr>
              <w:spacing w:line="240" w:lineRule="atLeast"/>
              <w:rPr>
                <w:rFonts w:ascii="Times New Roman" w:hAnsi="Times New Roman" w:cs="Times New Roman"/>
                <w:sz w:val="18"/>
                <w:szCs w:val="18"/>
              </w:rPr>
            </w:pPr>
          </w:p>
        </w:tc>
        <w:tc>
          <w:tcPr>
            <w:tcW w:w="540" w:type="dxa"/>
          </w:tcPr>
          <w:p w14:paraId="753D3D53" w14:textId="77777777" w:rsidR="003C045B" w:rsidRPr="00556412" w:rsidRDefault="003C045B" w:rsidP="00556412">
            <w:pPr>
              <w:spacing w:line="240" w:lineRule="atLeast"/>
              <w:jc w:val="center"/>
              <w:rPr>
                <w:rFonts w:ascii="Times New Roman" w:eastAsia="Calibri" w:hAnsi="Times New Roman" w:cs="Times New Roman"/>
                <w:i/>
                <w:sz w:val="18"/>
                <w:szCs w:val="18"/>
              </w:rPr>
            </w:pPr>
          </w:p>
        </w:tc>
        <w:tc>
          <w:tcPr>
            <w:tcW w:w="630" w:type="dxa"/>
            <w:shd w:val="clear" w:color="auto" w:fill="F2F2F2"/>
          </w:tcPr>
          <w:p w14:paraId="28426483" w14:textId="77777777" w:rsidR="000957A0" w:rsidRPr="00556412" w:rsidRDefault="000957A0" w:rsidP="00556412">
            <w:pPr>
              <w:spacing w:line="240" w:lineRule="atLeast"/>
              <w:jc w:val="center"/>
              <w:rPr>
                <w:rFonts w:ascii="Times New Roman" w:eastAsia="Calibri" w:hAnsi="Times New Roman" w:cs="Times New Roman"/>
                <w:sz w:val="18"/>
                <w:szCs w:val="18"/>
              </w:rPr>
            </w:pPr>
          </w:p>
          <w:p w14:paraId="7F6EF6B0" w14:textId="77777777" w:rsidR="000957A0" w:rsidRPr="00556412" w:rsidRDefault="000957A0" w:rsidP="00556412">
            <w:pPr>
              <w:spacing w:line="240" w:lineRule="atLeast"/>
              <w:jc w:val="center"/>
              <w:rPr>
                <w:rFonts w:ascii="Times New Roman" w:eastAsia="Calibri" w:hAnsi="Times New Roman" w:cs="Times New Roman"/>
                <w:sz w:val="18"/>
                <w:szCs w:val="18"/>
              </w:rPr>
            </w:pPr>
          </w:p>
          <w:p w14:paraId="53BC4411" w14:textId="77777777" w:rsidR="000957A0" w:rsidRPr="00556412" w:rsidRDefault="000957A0" w:rsidP="00556412">
            <w:pPr>
              <w:spacing w:line="240" w:lineRule="atLeast"/>
              <w:jc w:val="center"/>
              <w:rPr>
                <w:rFonts w:ascii="Times New Roman" w:eastAsia="Calibri" w:hAnsi="Times New Roman" w:cs="Times New Roman"/>
                <w:sz w:val="18"/>
                <w:szCs w:val="18"/>
              </w:rPr>
            </w:pPr>
          </w:p>
          <w:p w14:paraId="32DFF0D7" w14:textId="77777777" w:rsidR="000957A0" w:rsidRPr="00556412" w:rsidRDefault="000957A0" w:rsidP="00556412">
            <w:pPr>
              <w:spacing w:line="240" w:lineRule="atLeast"/>
              <w:jc w:val="center"/>
              <w:rPr>
                <w:rFonts w:ascii="Times New Roman" w:eastAsia="Calibri" w:hAnsi="Times New Roman" w:cs="Times New Roman"/>
                <w:sz w:val="18"/>
                <w:szCs w:val="18"/>
              </w:rPr>
            </w:pPr>
          </w:p>
          <w:p w14:paraId="7FDD80CF" w14:textId="77777777" w:rsidR="000957A0" w:rsidRPr="00556412" w:rsidRDefault="000957A0" w:rsidP="00556412">
            <w:pPr>
              <w:spacing w:line="240" w:lineRule="atLeast"/>
              <w:jc w:val="center"/>
              <w:rPr>
                <w:rFonts w:ascii="Times New Roman" w:eastAsia="Calibri" w:hAnsi="Times New Roman" w:cs="Times New Roman"/>
                <w:sz w:val="18"/>
                <w:szCs w:val="18"/>
              </w:rPr>
            </w:pPr>
          </w:p>
          <w:p w14:paraId="49667D08" w14:textId="542739B4" w:rsidR="003C045B" w:rsidRPr="00556412" w:rsidRDefault="0041453F" w:rsidP="00556412">
            <w:pPr>
              <w:spacing w:line="240" w:lineRule="atLeast"/>
              <w:jc w:val="center"/>
              <w:rPr>
                <w:rFonts w:ascii="Times New Roman" w:eastAsia="Calibri" w:hAnsi="Times New Roman" w:cs="Times New Roman"/>
                <w:sz w:val="18"/>
                <w:szCs w:val="18"/>
              </w:rPr>
            </w:pPr>
            <w:r w:rsidRPr="00556412">
              <w:rPr>
                <w:rFonts w:ascii="Times New Roman" w:eastAsia="Calibri" w:hAnsi="Times New Roman" w:cs="Times New Roman"/>
                <w:sz w:val="18"/>
                <w:szCs w:val="18"/>
              </w:rPr>
              <w:lastRenderedPageBreak/>
              <w:t>Neni</w:t>
            </w:r>
            <w:r w:rsidR="00EC4617" w:rsidRPr="00556412">
              <w:rPr>
                <w:rFonts w:ascii="Times New Roman" w:eastAsia="Calibri" w:hAnsi="Times New Roman" w:cs="Times New Roman"/>
                <w:sz w:val="18"/>
                <w:szCs w:val="18"/>
              </w:rPr>
              <w:t xml:space="preserve"> 2 </w:t>
            </w:r>
          </w:p>
        </w:tc>
        <w:tc>
          <w:tcPr>
            <w:tcW w:w="4964" w:type="dxa"/>
            <w:shd w:val="clear" w:color="auto" w:fill="F2F2F2"/>
          </w:tcPr>
          <w:p w14:paraId="5AEAB63D" w14:textId="77777777" w:rsidR="00C428C9" w:rsidRPr="00556412" w:rsidRDefault="00C428C9" w:rsidP="00556412">
            <w:pPr>
              <w:spacing w:line="240" w:lineRule="atLeast"/>
              <w:jc w:val="both"/>
              <w:rPr>
                <w:rFonts w:ascii="Times New Roman" w:hAnsi="Times New Roman" w:cs="Times New Roman"/>
                <w:sz w:val="18"/>
                <w:szCs w:val="18"/>
              </w:rPr>
            </w:pPr>
          </w:p>
          <w:p w14:paraId="2DE8B532" w14:textId="77777777" w:rsidR="00C428C9" w:rsidRPr="00556412" w:rsidRDefault="00C428C9" w:rsidP="00556412">
            <w:pPr>
              <w:spacing w:line="240" w:lineRule="atLeast"/>
              <w:jc w:val="both"/>
              <w:rPr>
                <w:rFonts w:ascii="Times New Roman" w:hAnsi="Times New Roman" w:cs="Times New Roman"/>
                <w:sz w:val="18"/>
                <w:szCs w:val="18"/>
              </w:rPr>
            </w:pPr>
          </w:p>
          <w:p w14:paraId="4CD3E94E" w14:textId="77777777" w:rsidR="00217F04" w:rsidRPr="00556412" w:rsidRDefault="00217F04" w:rsidP="00556412">
            <w:pPr>
              <w:spacing w:line="240" w:lineRule="atLeast"/>
              <w:jc w:val="center"/>
              <w:rPr>
                <w:rFonts w:ascii="Times New Roman" w:hAnsi="Times New Roman" w:cs="Times New Roman"/>
                <w:b/>
                <w:sz w:val="18"/>
                <w:szCs w:val="18"/>
              </w:rPr>
            </w:pPr>
          </w:p>
          <w:p w14:paraId="328C48BC" w14:textId="4C9A0C3A" w:rsidR="00C428C9" w:rsidRPr="00556412" w:rsidRDefault="00C428C9" w:rsidP="00556412">
            <w:pPr>
              <w:spacing w:line="240" w:lineRule="atLeast"/>
              <w:jc w:val="center"/>
              <w:rPr>
                <w:rFonts w:ascii="Times New Roman" w:hAnsi="Times New Roman" w:cs="Times New Roman"/>
                <w:b/>
                <w:sz w:val="18"/>
                <w:szCs w:val="18"/>
              </w:rPr>
            </w:pPr>
            <w:r w:rsidRPr="00556412">
              <w:rPr>
                <w:rFonts w:ascii="Times New Roman" w:hAnsi="Times New Roman" w:cs="Times New Roman"/>
                <w:b/>
                <w:sz w:val="18"/>
                <w:szCs w:val="18"/>
              </w:rPr>
              <w:t>Neni 2</w:t>
            </w:r>
          </w:p>
          <w:p w14:paraId="28EE503C" w14:textId="77777777" w:rsidR="00C428C9" w:rsidRPr="00556412" w:rsidRDefault="00C428C9" w:rsidP="00556412">
            <w:pPr>
              <w:spacing w:line="240" w:lineRule="atLeast"/>
              <w:jc w:val="center"/>
              <w:rPr>
                <w:rFonts w:ascii="Times New Roman" w:hAnsi="Times New Roman" w:cs="Times New Roman"/>
                <w:b/>
                <w:sz w:val="18"/>
                <w:szCs w:val="18"/>
              </w:rPr>
            </w:pPr>
          </w:p>
          <w:p w14:paraId="665FFEEC" w14:textId="5988E816" w:rsidR="00C428C9" w:rsidRPr="00556412" w:rsidRDefault="00C428C9" w:rsidP="00556412">
            <w:pPr>
              <w:spacing w:line="240" w:lineRule="atLeast"/>
              <w:jc w:val="center"/>
              <w:rPr>
                <w:rFonts w:ascii="Times New Roman" w:hAnsi="Times New Roman" w:cs="Times New Roman"/>
                <w:b/>
                <w:sz w:val="18"/>
                <w:szCs w:val="18"/>
              </w:rPr>
            </w:pPr>
            <w:r w:rsidRPr="00556412">
              <w:rPr>
                <w:rFonts w:ascii="Times New Roman" w:hAnsi="Times New Roman" w:cs="Times New Roman"/>
                <w:b/>
                <w:sz w:val="18"/>
                <w:szCs w:val="18"/>
              </w:rPr>
              <w:t>Përkufizimet</w:t>
            </w:r>
          </w:p>
          <w:p w14:paraId="1C2EC9C2" w14:textId="77777777" w:rsidR="000957A0" w:rsidRPr="00556412" w:rsidRDefault="000957A0" w:rsidP="00556412">
            <w:pPr>
              <w:spacing w:line="240" w:lineRule="atLeast"/>
              <w:jc w:val="both"/>
              <w:rPr>
                <w:rFonts w:ascii="Times New Roman" w:hAnsi="Times New Roman" w:cs="Times New Roman"/>
                <w:sz w:val="18"/>
                <w:szCs w:val="18"/>
              </w:rPr>
            </w:pPr>
          </w:p>
          <w:p w14:paraId="5362FA6F" w14:textId="43367B8E" w:rsidR="00C428C9" w:rsidRPr="00556412" w:rsidRDefault="00C428C9" w:rsidP="00556412">
            <w:pPr>
              <w:spacing w:line="240" w:lineRule="atLeast"/>
              <w:jc w:val="both"/>
              <w:rPr>
                <w:rFonts w:ascii="Times New Roman" w:hAnsi="Times New Roman" w:cs="Times New Roman"/>
                <w:b/>
                <w:sz w:val="18"/>
                <w:szCs w:val="18"/>
              </w:rPr>
            </w:pPr>
            <w:r w:rsidRPr="00556412">
              <w:rPr>
                <w:rFonts w:ascii="Times New Roman" w:hAnsi="Times New Roman" w:cs="Times New Roman"/>
                <w:sz w:val="18"/>
                <w:szCs w:val="18"/>
              </w:rPr>
              <w:t>5.</w:t>
            </w:r>
            <w:r w:rsidRPr="00556412">
              <w:rPr>
                <w:rFonts w:ascii="Times New Roman" w:hAnsi="Times New Roman" w:cs="Times New Roman"/>
                <w:b/>
                <w:sz w:val="18"/>
                <w:szCs w:val="18"/>
              </w:rPr>
              <w:t>Vendimi paraprak ndërkufitar:</w:t>
            </w:r>
            <w:r w:rsidRPr="00556412">
              <w:rPr>
                <w:rFonts w:ascii="Times New Roman" w:hAnsi="Times New Roman" w:cs="Times New Roman"/>
                <w:sz w:val="18"/>
                <w:szCs w:val="18"/>
              </w:rPr>
              <w:t xml:space="preserve"> nënkupton çdo marrëveshje, komunikim ose çdo instrument apo masë tjetër me efekte të ngjashme duke përfshirë edhe një vendim të nxjerrë, të ndryshuar ose të rinovuar në kuadrin e një kontrolli tatimor dhe që plotëson kushtet e mëposhtme:</w:t>
            </w:r>
          </w:p>
          <w:p w14:paraId="172E5416" w14:textId="1B9E56B1" w:rsidR="00C428C9" w:rsidRPr="00556412" w:rsidRDefault="00C428C9" w:rsidP="00556412">
            <w:pPr>
              <w:spacing w:line="240" w:lineRule="atLeast"/>
              <w:jc w:val="both"/>
              <w:rPr>
                <w:rFonts w:ascii="Times New Roman" w:hAnsi="Times New Roman" w:cs="Times New Roman"/>
                <w:sz w:val="18"/>
                <w:szCs w:val="18"/>
              </w:rPr>
            </w:pPr>
            <w:r w:rsidRPr="00556412">
              <w:rPr>
                <w:rFonts w:ascii="Times New Roman" w:hAnsi="Times New Roman" w:cs="Times New Roman"/>
                <w:sz w:val="18"/>
                <w:szCs w:val="18"/>
              </w:rPr>
              <w:t>a)</w:t>
            </w:r>
            <w:r w:rsidR="000957A0" w:rsidRPr="00556412">
              <w:rPr>
                <w:rFonts w:ascii="Times New Roman" w:hAnsi="Times New Roman" w:cs="Times New Roman"/>
                <w:sz w:val="18"/>
                <w:szCs w:val="18"/>
              </w:rPr>
              <w:t xml:space="preserve"> </w:t>
            </w:r>
            <w:r w:rsidRPr="00556412">
              <w:rPr>
                <w:rFonts w:ascii="Times New Roman" w:hAnsi="Times New Roman" w:cs="Times New Roman"/>
                <w:sz w:val="18"/>
                <w:szCs w:val="18"/>
              </w:rPr>
              <w:t xml:space="preserve">lëshohet, ndryshohet ose rinovohet nga ose në emër të qeverisë ose autoritetit tatimor të një shteti anëtar, ose nënndarjeve territoriale ose administrative të shtetit anëtar, duke përfshirë autoritetet lokale, pavarësisht nëse përdoret efektivisht; </w:t>
            </w:r>
          </w:p>
          <w:p w14:paraId="675C88B6" w14:textId="13DB6BBE" w:rsidR="00C428C9" w:rsidRPr="00556412" w:rsidRDefault="00C428C9" w:rsidP="00556412">
            <w:pPr>
              <w:spacing w:line="240" w:lineRule="atLeast"/>
              <w:jc w:val="both"/>
              <w:rPr>
                <w:rFonts w:ascii="Times New Roman" w:hAnsi="Times New Roman" w:cs="Times New Roman"/>
                <w:sz w:val="18"/>
                <w:szCs w:val="18"/>
              </w:rPr>
            </w:pPr>
            <w:r w:rsidRPr="00556412">
              <w:rPr>
                <w:rFonts w:ascii="Times New Roman" w:hAnsi="Times New Roman" w:cs="Times New Roman"/>
                <w:sz w:val="18"/>
                <w:szCs w:val="18"/>
              </w:rPr>
              <w:t>b)</w:t>
            </w:r>
            <w:r w:rsidR="000957A0" w:rsidRPr="00556412">
              <w:rPr>
                <w:rFonts w:ascii="Times New Roman" w:hAnsi="Times New Roman" w:cs="Times New Roman"/>
                <w:sz w:val="18"/>
                <w:szCs w:val="18"/>
              </w:rPr>
              <w:t xml:space="preserve"> </w:t>
            </w:r>
            <w:r w:rsidRPr="00556412">
              <w:rPr>
                <w:rFonts w:ascii="Times New Roman" w:hAnsi="Times New Roman" w:cs="Times New Roman"/>
                <w:sz w:val="18"/>
                <w:szCs w:val="18"/>
              </w:rPr>
              <w:t>është lëshuar, ndryshuar ose rinovuar, një personi të caktuar ose një grupi personash, dhe tek i cili ai person ose një grup personash ka të drejtë të mbështetet;</w:t>
            </w:r>
          </w:p>
          <w:p w14:paraId="63F59B36" w14:textId="64AB311F" w:rsidR="00C428C9" w:rsidRPr="00556412" w:rsidRDefault="00C428C9" w:rsidP="00556412">
            <w:pPr>
              <w:spacing w:line="240" w:lineRule="atLeast"/>
              <w:jc w:val="both"/>
              <w:rPr>
                <w:rFonts w:ascii="Times New Roman" w:hAnsi="Times New Roman" w:cs="Times New Roman"/>
                <w:sz w:val="18"/>
                <w:szCs w:val="18"/>
              </w:rPr>
            </w:pPr>
            <w:r w:rsidRPr="00556412">
              <w:rPr>
                <w:rFonts w:ascii="Times New Roman" w:hAnsi="Times New Roman" w:cs="Times New Roman"/>
                <w:sz w:val="18"/>
                <w:szCs w:val="18"/>
              </w:rPr>
              <w:t>c)</w:t>
            </w:r>
            <w:r w:rsidR="000957A0" w:rsidRPr="00556412">
              <w:rPr>
                <w:rFonts w:ascii="Times New Roman" w:hAnsi="Times New Roman" w:cs="Times New Roman"/>
                <w:sz w:val="18"/>
                <w:szCs w:val="18"/>
              </w:rPr>
              <w:t xml:space="preserve"> </w:t>
            </w:r>
            <w:r w:rsidRPr="00556412">
              <w:rPr>
                <w:rFonts w:ascii="Times New Roman" w:hAnsi="Times New Roman" w:cs="Times New Roman"/>
                <w:sz w:val="18"/>
                <w:szCs w:val="18"/>
              </w:rPr>
              <w:t>ka të bëjë me interpretimin ose zbatimin e një dispozite ligjore ose administrative në lidhje me administrimin ose zbatimin e ligjeve kombëtare në lidhje me taksat e shtetit anëtar, ose nënndarjet territoriale ose administrative të shtetit anëtar, duke përfshirë autoritetet lokale;</w:t>
            </w:r>
          </w:p>
          <w:p w14:paraId="60505270" w14:textId="29F2FA5D" w:rsidR="00C428C9" w:rsidRPr="00556412" w:rsidRDefault="00C428C9" w:rsidP="00556412">
            <w:pPr>
              <w:spacing w:line="240" w:lineRule="atLeast"/>
              <w:jc w:val="both"/>
              <w:rPr>
                <w:rFonts w:ascii="Times New Roman" w:hAnsi="Times New Roman" w:cs="Times New Roman"/>
                <w:sz w:val="18"/>
                <w:szCs w:val="18"/>
              </w:rPr>
            </w:pPr>
            <w:r w:rsidRPr="00556412">
              <w:rPr>
                <w:rFonts w:ascii="Times New Roman" w:hAnsi="Times New Roman" w:cs="Times New Roman"/>
                <w:sz w:val="18"/>
                <w:szCs w:val="18"/>
              </w:rPr>
              <w:t>d)</w:t>
            </w:r>
            <w:r w:rsidR="000957A0" w:rsidRPr="00556412">
              <w:rPr>
                <w:rFonts w:ascii="Times New Roman" w:hAnsi="Times New Roman" w:cs="Times New Roman"/>
                <w:sz w:val="18"/>
                <w:szCs w:val="18"/>
              </w:rPr>
              <w:t xml:space="preserve"> </w:t>
            </w:r>
            <w:r w:rsidRPr="00556412">
              <w:rPr>
                <w:rFonts w:ascii="Times New Roman" w:hAnsi="Times New Roman" w:cs="Times New Roman"/>
                <w:sz w:val="18"/>
                <w:szCs w:val="18"/>
              </w:rPr>
              <w:t>lidhet me një transaksion ndërkufitar ose me çështjen nëse aktivitetet e kryera nga një person në një juridiksion tjetër krijojnë ose jo seli të përhershme ose me faktin nëse një person fizik është ose jo rezident për qëllime tatimore në shtetin anëtar që ka nxjerrë vendimin; dhe</w:t>
            </w:r>
          </w:p>
          <w:p w14:paraId="3FAC163D" w14:textId="45FCDB93" w:rsidR="003C045B" w:rsidRPr="00556412" w:rsidRDefault="00C428C9" w:rsidP="00556412">
            <w:pPr>
              <w:spacing w:line="240" w:lineRule="atLeast"/>
              <w:jc w:val="both"/>
              <w:rPr>
                <w:rFonts w:ascii="Times New Roman" w:hAnsi="Times New Roman" w:cs="Times New Roman"/>
                <w:sz w:val="18"/>
                <w:szCs w:val="18"/>
              </w:rPr>
            </w:pPr>
            <w:r w:rsidRPr="00556412">
              <w:rPr>
                <w:rFonts w:ascii="Times New Roman" w:hAnsi="Times New Roman" w:cs="Times New Roman"/>
                <w:sz w:val="18"/>
                <w:szCs w:val="18"/>
              </w:rPr>
              <w:t>e)</w:t>
            </w:r>
            <w:r w:rsidR="000957A0" w:rsidRPr="00556412">
              <w:rPr>
                <w:rFonts w:ascii="Times New Roman" w:hAnsi="Times New Roman" w:cs="Times New Roman"/>
                <w:sz w:val="18"/>
                <w:szCs w:val="18"/>
              </w:rPr>
              <w:t xml:space="preserve"> </w:t>
            </w:r>
            <w:r w:rsidRPr="00556412">
              <w:rPr>
                <w:rFonts w:ascii="Times New Roman" w:hAnsi="Times New Roman" w:cs="Times New Roman"/>
                <w:sz w:val="18"/>
                <w:szCs w:val="18"/>
              </w:rPr>
              <w:t>bëhet përpara transaksioneve ose aktiviteteve në një juridiksion tjetër që mund të krijojë një seli të përhershme, ose përpara paraqitjes së një deklarate tatimore që mbulon periudhën në të cilën është kryer transaksioni ose seria e transaksioneve ose aktiviteteve</w:t>
            </w:r>
          </w:p>
          <w:p w14:paraId="27255FB0" w14:textId="77777777" w:rsidR="00C428C9" w:rsidRPr="00556412" w:rsidRDefault="00C428C9" w:rsidP="00556412">
            <w:pPr>
              <w:spacing w:line="240" w:lineRule="atLeast"/>
              <w:jc w:val="both"/>
              <w:rPr>
                <w:rFonts w:ascii="Times New Roman" w:hAnsi="Times New Roman" w:cs="Times New Roman"/>
                <w:sz w:val="18"/>
                <w:szCs w:val="18"/>
              </w:rPr>
            </w:pPr>
          </w:p>
          <w:p w14:paraId="7AFCC245" w14:textId="77777777" w:rsidR="00C428C9" w:rsidRPr="00556412" w:rsidRDefault="00C428C9" w:rsidP="00556412">
            <w:pPr>
              <w:spacing w:line="240" w:lineRule="atLeast"/>
              <w:jc w:val="both"/>
              <w:rPr>
                <w:rFonts w:ascii="Times New Roman" w:hAnsi="Times New Roman" w:cs="Times New Roman"/>
                <w:sz w:val="18"/>
                <w:szCs w:val="18"/>
              </w:rPr>
            </w:pPr>
          </w:p>
          <w:p w14:paraId="333A8FDB" w14:textId="6EDB93BD" w:rsidR="00C428C9" w:rsidRPr="00556412" w:rsidRDefault="00C428C9" w:rsidP="00556412">
            <w:pPr>
              <w:spacing w:line="240" w:lineRule="atLeast"/>
              <w:jc w:val="both"/>
              <w:rPr>
                <w:rFonts w:ascii="Times New Roman" w:eastAsia="Times New Roman" w:hAnsi="Times New Roman" w:cs="Times New Roman"/>
                <w:color w:val="000000" w:themeColor="text1"/>
                <w:sz w:val="18"/>
                <w:szCs w:val="18"/>
                <w:lang w:val="sq-AL" w:eastAsia="sq-AL"/>
              </w:rPr>
            </w:pPr>
            <w:r w:rsidRPr="00556412">
              <w:rPr>
                <w:rFonts w:ascii="Times New Roman" w:eastAsia="Times New Roman" w:hAnsi="Times New Roman" w:cs="Times New Roman"/>
                <w:color w:val="000000" w:themeColor="text1"/>
                <w:sz w:val="18"/>
                <w:szCs w:val="18"/>
                <w:lang w:val="sq-AL" w:eastAsia="sq-AL"/>
              </w:rPr>
              <w:t xml:space="preserve"> </w:t>
            </w:r>
          </w:p>
          <w:p w14:paraId="449DDAC1" w14:textId="77777777" w:rsidR="00C428C9" w:rsidRPr="00556412" w:rsidRDefault="00C428C9" w:rsidP="00556412">
            <w:pPr>
              <w:spacing w:line="240" w:lineRule="atLeast"/>
              <w:jc w:val="both"/>
              <w:rPr>
                <w:rFonts w:ascii="Times New Roman" w:hAnsi="Times New Roman" w:cs="Times New Roman"/>
                <w:sz w:val="18"/>
                <w:szCs w:val="18"/>
              </w:rPr>
            </w:pPr>
          </w:p>
          <w:p w14:paraId="3CC5FA14" w14:textId="77777777" w:rsidR="00C428C9" w:rsidRPr="00556412" w:rsidRDefault="00C428C9" w:rsidP="00556412">
            <w:pPr>
              <w:spacing w:line="240" w:lineRule="atLeast"/>
              <w:jc w:val="both"/>
              <w:rPr>
                <w:rFonts w:ascii="Times New Roman" w:hAnsi="Times New Roman" w:cs="Times New Roman"/>
                <w:sz w:val="18"/>
                <w:szCs w:val="18"/>
              </w:rPr>
            </w:pPr>
          </w:p>
          <w:p w14:paraId="32CC684F" w14:textId="77777777" w:rsidR="00C428C9" w:rsidRPr="00556412" w:rsidRDefault="00C428C9" w:rsidP="00556412">
            <w:pPr>
              <w:spacing w:line="240" w:lineRule="atLeast"/>
              <w:jc w:val="both"/>
              <w:rPr>
                <w:rFonts w:ascii="Times New Roman" w:hAnsi="Times New Roman" w:cs="Times New Roman"/>
                <w:sz w:val="18"/>
                <w:szCs w:val="18"/>
              </w:rPr>
            </w:pPr>
          </w:p>
          <w:p w14:paraId="7C128AC1" w14:textId="77777777" w:rsidR="00C428C9" w:rsidRPr="00556412" w:rsidRDefault="00C428C9" w:rsidP="00556412">
            <w:pPr>
              <w:spacing w:line="240" w:lineRule="atLeast"/>
              <w:jc w:val="both"/>
              <w:rPr>
                <w:rFonts w:ascii="Times New Roman" w:hAnsi="Times New Roman" w:cs="Times New Roman"/>
                <w:sz w:val="18"/>
                <w:szCs w:val="18"/>
              </w:rPr>
            </w:pPr>
          </w:p>
          <w:p w14:paraId="4497F67B" w14:textId="77777777" w:rsidR="00C428C9" w:rsidRPr="00556412" w:rsidRDefault="00C428C9" w:rsidP="00556412">
            <w:pPr>
              <w:spacing w:line="240" w:lineRule="atLeast"/>
              <w:jc w:val="both"/>
              <w:rPr>
                <w:rFonts w:ascii="Times New Roman" w:hAnsi="Times New Roman" w:cs="Times New Roman"/>
                <w:sz w:val="18"/>
                <w:szCs w:val="18"/>
              </w:rPr>
            </w:pPr>
          </w:p>
          <w:p w14:paraId="30053563" w14:textId="77777777" w:rsidR="00C428C9" w:rsidRPr="00556412" w:rsidRDefault="00C428C9" w:rsidP="00556412">
            <w:pPr>
              <w:spacing w:line="240" w:lineRule="atLeast"/>
              <w:jc w:val="both"/>
              <w:rPr>
                <w:rFonts w:ascii="Times New Roman" w:hAnsi="Times New Roman" w:cs="Times New Roman"/>
                <w:sz w:val="18"/>
                <w:szCs w:val="18"/>
              </w:rPr>
            </w:pPr>
          </w:p>
          <w:p w14:paraId="268BAA99" w14:textId="77777777" w:rsidR="00C428C9" w:rsidRPr="00556412" w:rsidRDefault="00C428C9" w:rsidP="00556412">
            <w:pPr>
              <w:spacing w:line="240" w:lineRule="atLeast"/>
              <w:jc w:val="both"/>
              <w:rPr>
                <w:rFonts w:ascii="Times New Roman" w:hAnsi="Times New Roman" w:cs="Times New Roman"/>
                <w:sz w:val="18"/>
                <w:szCs w:val="18"/>
              </w:rPr>
            </w:pPr>
          </w:p>
          <w:p w14:paraId="792D6FCE" w14:textId="77777777" w:rsidR="00C428C9" w:rsidRPr="00556412" w:rsidRDefault="00C428C9" w:rsidP="00556412">
            <w:pPr>
              <w:spacing w:line="240" w:lineRule="atLeast"/>
              <w:jc w:val="both"/>
              <w:rPr>
                <w:rFonts w:ascii="Times New Roman" w:hAnsi="Times New Roman" w:cs="Times New Roman"/>
                <w:sz w:val="18"/>
                <w:szCs w:val="18"/>
              </w:rPr>
            </w:pPr>
          </w:p>
          <w:p w14:paraId="7C86C916" w14:textId="77777777" w:rsidR="00C428C9" w:rsidRPr="00556412" w:rsidRDefault="00C428C9" w:rsidP="00556412">
            <w:pPr>
              <w:spacing w:line="240" w:lineRule="atLeast"/>
              <w:jc w:val="both"/>
              <w:rPr>
                <w:rFonts w:ascii="Times New Roman" w:hAnsi="Times New Roman" w:cs="Times New Roman"/>
                <w:sz w:val="18"/>
                <w:szCs w:val="18"/>
              </w:rPr>
            </w:pPr>
          </w:p>
          <w:p w14:paraId="17F43A32" w14:textId="77777777" w:rsidR="00C428C9" w:rsidRPr="00556412" w:rsidRDefault="00C428C9" w:rsidP="00556412">
            <w:pPr>
              <w:spacing w:line="240" w:lineRule="atLeast"/>
              <w:jc w:val="both"/>
              <w:rPr>
                <w:rFonts w:ascii="Times New Roman" w:hAnsi="Times New Roman" w:cs="Times New Roman"/>
                <w:sz w:val="18"/>
                <w:szCs w:val="18"/>
              </w:rPr>
            </w:pPr>
          </w:p>
          <w:p w14:paraId="5679C38C" w14:textId="77777777" w:rsidR="00C428C9" w:rsidRPr="00556412" w:rsidRDefault="00C428C9" w:rsidP="00556412">
            <w:pPr>
              <w:spacing w:line="240" w:lineRule="atLeast"/>
              <w:jc w:val="both"/>
              <w:rPr>
                <w:rFonts w:ascii="Times New Roman" w:hAnsi="Times New Roman" w:cs="Times New Roman"/>
                <w:sz w:val="18"/>
                <w:szCs w:val="18"/>
              </w:rPr>
            </w:pPr>
          </w:p>
          <w:p w14:paraId="462F8488" w14:textId="77777777" w:rsidR="00C428C9" w:rsidRPr="00556412" w:rsidRDefault="00C428C9" w:rsidP="00556412">
            <w:pPr>
              <w:spacing w:line="240" w:lineRule="atLeast"/>
              <w:jc w:val="both"/>
              <w:rPr>
                <w:rFonts w:ascii="Times New Roman" w:hAnsi="Times New Roman" w:cs="Times New Roman"/>
                <w:sz w:val="18"/>
                <w:szCs w:val="18"/>
              </w:rPr>
            </w:pPr>
          </w:p>
          <w:p w14:paraId="113FEEF7" w14:textId="77777777" w:rsidR="00C428C9" w:rsidRPr="00556412" w:rsidRDefault="00C428C9" w:rsidP="00556412">
            <w:pPr>
              <w:spacing w:line="240" w:lineRule="atLeast"/>
              <w:jc w:val="both"/>
              <w:rPr>
                <w:rFonts w:ascii="Times New Roman" w:hAnsi="Times New Roman" w:cs="Times New Roman"/>
                <w:sz w:val="18"/>
                <w:szCs w:val="18"/>
              </w:rPr>
            </w:pPr>
          </w:p>
          <w:p w14:paraId="119B59E6" w14:textId="77777777" w:rsidR="00C428C9" w:rsidRPr="00556412" w:rsidRDefault="00C428C9" w:rsidP="00556412">
            <w:pPr>
              <w:spacing w:line="240" w:lineRule="atLeast"/>
              <w:jc w:val="both"/>
              <w:rPr>
                <w:rFonts w:ascii="Times New Roman" w:hAnsi="Times New Roman" w:cs="Times New Roman"/>
                <w:sz w:val="18"/>
                <w:szCs w:val="18"/>
              </w:rPr>
            </w:pPr>
          </w:p>
          <w:p w14:paraId="0FD47F49" w14:textId="77777777" w:rsidR="00C428C9" w:rsidRPr="00556412" w:rsidRDefault="00C428C9" w:rsidP="00556412">
            <w:pPr>
              <w:spacing w:line="240" w:lineRule="atLeast"/>
              <w:jc w:val="center"/>
              <w:rPr>
                <w:rFonts w:ascii="Times New Roman" w:hAnsi="Times New Roman" w:cs="Times New Roman"/>
                <w:b/>
                <w:sz w:val="18"/>
                <w:szCs w:val="18"/>
              </w:rPr>
            </w:pPr>
            <w:r w:rsidRPr="00556412">
              <w:rPr>
                <w:rFonts w:ascii="Times New Roman" w:hAnsi="Times New Roman" w:cs="Times New Roman"/>
                <w:b/>
                <w:sz w:val="18"/>
                <w:szCs w:val="18"/>
              </w:rPr>
              <w:t>Neni 2</w:t>
            </w:r>
          </w:p>
          <w:p w14:paraId="6623C5DF" w14:textId="77777777" w:rsidR="00C428C9" w:rsidRPr="00556412" w:rsidRDefault="00C428C9" w:rsidP="00556412">
            <w:pPr>
              <w:spacing w:line="240" w:lineRule="atLeast"/>
              <w:jc w:val="center"/>
              <w:rPr>
                <w:rFonts w:ascii="Times New Roman" w:hAnsi="Times New Roman" w:cs="Times New Roman"/>
                <w:b/>
                <w:sz w:val="18"/>
                <w:szCs w:val="18"/>
              </w:rPr>
            </w:pPr>
          </w:p>
          <w:p w14:paraId="056AD841" w14:textId="77777777" w:rsidR="00C428C9" w:rsidRPr="00556412" w:rsidRDefault="00C428C9" w:rsidP="00556412">
            <w:pPr>
              <w:spacing w:line="240" w:lineRule="atLeast"/>
              <w:jc w:val="center"/>
              <w:rPr>
                <w:rFonts w:ascii="Times New Roman" w:hAnsi="Times New Roman" w:cs="Times New Roman"/>
                <w:b/>
                <w:sz w:val="18"/>
                <w:szCs w:val="18"/>
              </w:rPr>
            </w:pPr>
            <w:r w:rsidRPr="00556412">
              <w:rPr>
                <w:rFonts w:ascii="Times New Roman" w:hAnsi="Times New Roman" w:cs="Times New Roman"/>
                <w:b/>
                <w:sz w:val="18"/>
                <w:szCs w:val="18"/>
              </w:rPr>
              <w:t>Përkufizimet</w:t>
            </w:r>
          </w:p>
          <w:p w14:paraId="30245A2C" w14:textId="77777777" w:rsidR="00C428C9" w:rsidRPr="00556412" w:rsidRDefault="00C428C9" w:rsidP="00556412">
            <w:pPr>
              <w:spacing w:line="240" w:lineRule="atLeast"/>
              <w:jc w:val="both"/>
              <w:rPr>
                <w:rFonts w:ascii="Times New Roman" w:hAnsi="Times New Roman" w:cs="Times New Roman"/>
                <w:sz w:val="18"/>
                <w:szCs w:val="18"/>
              </w:rPr>
            </w:pPr>
          </w:p>
          <w:p w14:paraId="7BD77AB0" w14:textId="3230D4A0" w:rsidR="00C428C9" w:rsidRPr="00556412" w:rsidRDefault="00C428C9" w:rsidP="00556412">
            <w:pPr>
              <w:spacing w:line="240" w:lineRule="atLeast"/>
              <w:jc w:val="both"/>
              <w:rPr>
                <w:rFonts w:ascii="Times New Roman" w:hAnsi="Times New Roman" w:cs="Times New Roman"/>
                <w:sz w:val="18"/>
                <w:szCs w:val="18"/>
              </w:rPr>
            </w:pPr>
            <w:r w:rsidRPr="00556412">
              <w:rPr>
                <w:rFonts w:ascii="Times New Roman" w:hAnsi="Times New Roman" w:cs="Times New Roman"/>
                <w:sz w:val="18"/>
                <w:szCs w:val="18"/>
              </w:rPr>
              <w:t>Transaksioni ndërkufitar mund të përfshijë, por nuk kufizohet në, kryejen  e investimeve, ofrimin e mallrave, shërbimeve, financave ose përdorimin e aktiveve të trupëzuara ose patrupëzuara, dhe nuk është e nevojshme të përfshijë drejtpërdrejt personin që merr vendimin ndërkufitar në avancë;</w:t>
            </w:r>
          </w:p>
        </w:tc>
        <w:tc>
          <w:tcPr>
            <w:tcW w:w="976" w:type="dxa"/>
            <w:shd w:val="clear" w:color="auto" w:fill="F2F2F2"/>
          </w:tcPr>
          <w:p w14:paraId="6E221F18" w14:textId="77777777" w:rsidR="000957A0" w:rsidRPr="00556412" w:rsidRDefault="000957A0" w:rsidP="00556412">
            <w:pPr>
              <w:spacing w:line="240" w:lineRule="atLeast"/>
              <w:jc w:val="center"/>
              <w:rPr>
                <w:rFonts w:ascii="Times New Roman" w:eastAsia="Calibri" w:hAnsi="Times New Roman" w:cs="Times New Roman"/>
                <w:sz w:val="18"/>
                <w:szCs w:val="18"/>
              </w:rPr>
            </w:pPr>
          </w:p>
          <w:p w14:paraId="30F6442C" w14:textId="77777777" w:rsidR="000957A0" w:rsidRPr="00556412" w:rsidRDefault="000957A0" w:rsidP="00556412">
            <w:pPr>
              <w:spacing w:line="240" w:lineRule="atLeast"/>
              <w:jc w:val="center"/>
              <w:rPr>
                <w:rFonts w:ascii="Times New Roman" w:eastAsia="Calibri" w:hAnsi="Times New Roman" w:cs="Times New Roman"/>
                <w:sz w:val="18"/>
                <w:szCs w:val="18"/>
              </w:rPr>
            </w:pPr>
          </w:p>
          <w:p w14:paraId="50F9882E" w14:textId="77777777" w:rsidR="000957A0" w:rsidRPr="00556412" w:rsidRDefault="000957A0" w:rsidP="00556412">
            <w:pPr>
              <w:spacing w:line="240" w:lineRule="atLeast"/>
              <w:jc w:val="center"/>
              <w:rPr>
                <w:rFonts w:ascii="Times New Roman" w:eastAsia="Calibri" w:hAnsi="Times New Roman" w:cs="Times New Roman"/>
                <w:sz w:val="18"/>
                <w:szCs w:val="18"/>
              </w:rPr>
            </w:pPr>
          </w:p>
          <w:p w14:paraId="230415D9" w14:textId="77777777" w:rsidR="000957A0" w:rsidRPr="00556412" w:rsidRDefault="000957A0" w:rsidP="00556412">
            <w:pPr>
              <w:spacing w:line="240" w:lineRule="atLeast"/>
              <w:jc w:val="center"/>
              <w:rPr>
                <w:rFonts w:ascii="Times New Roman" w:eastAsia="Calibri" w:hAnsi="Times New Roman" w:cs="Times New Roman"/>
                <w:sz w:val="18"/>
                <w:szCs w:val="18"/>
              </w:rPr>
            </w:pPr>
          </w:p>
          <w:p w14:paraId="5FCA6381" w14:textId="77777777" w:rsidR="000957A0" w:rsidRPr="00556412" w:rsidRDefault="000957A0" w:rsidP="00556412">
            <w:pPr>
              <w:spacing w:line="240" w:lineRule="atLeast"/>
              <w:jc w:val="center"/>
              <w:rPr>
                <w:rFonts w:ascii="Times New Roman" w:eastAsia="Calibri" w:hAnsi="Times New Roman" w:cs="Times New Roman"/>
                <w:sz w:val="18"/>
                <w:szCs w:val="18"/>
              </w:rPr>
            </w:pPr>
          </w:p>
          <w:p w14:paraId="148AA987" w14:textId="6EC6E84A" w:rsidR="003C045B" w:rsidRPr="00556412" w:rsidRDefault="00EC4617" w:rsidP="00556412">
            <w:pPr>
              <w:spacing w:line="240" w:lineRule="atLeast"/>
              <w:jc w:val="center"/>
              <w:rPr>
                <w:rFonts w:ascii="Times New Roman" w:eastAsia="Calibri" w:hAnsi="Times New Roman" w:cs="Times New Roman"/>
                <w:sz w:val="18"/>
                <w:szCs w:val="18"/>
              </w:rPr>
            </w:pPr>
            <w:r w:rsidRPr="00556412">
              <w:rPr>
                <w:rFonts w:ascii="Times New Roman" w:eastAsia="Calibri" w:hAnsi="Times New Roman" w:cs="Times New Roman"/>
                <w:sz w:val="18"/>
                <w:szCs w:val="18"/>
              </w:rPr>
              <w:t>F</w:t>
            </w:r>
          </w:p>
        </w:tc>
        <w:tc>
          <w:tcPr>
            <w:tcW w:w="3150" w:type="dxa"/>
            <w:shd w:val="clear" w:color="auto" w:fill="F2F2F2"/>
          </w:tcPr>
          <w:p w14:paraId="26964FA0" w14:textId="77777777" w:rsidR="003C045B" w:rsidRPr="00556412" w:rsidRDefault="003C045B" w:rsidP="00556412">
            <w:pPr>
              <w:spacing w:line="240" w:lineRule="atLeast"/>
              <w:rPr>
                <w:rFonts w:ascii="Times New Roman" w:eastAsia="Calibri" w:hAnsi="Times New Roman" w:cs="Times New Roman"/>
                <w:i/>
                <w:sz w:val="18"/>
                <w:szCs w:val="18"/>
              </w:rPr>
            </w:pPr>
          </w:p>
        </w:tc>
      </w:tr>
      <w:tr w:rsidR="003C045B" w:rsidRPr="00556412" w14:paraId="54545BFE" w14:textId="77777777" w:rsidTr="003C3604">
        <w:trPr>
          <w:trHeight w:val="1718"/>
        </w:trPr>
        <w:tc>
          <w:tcPr>
            <w:tcW w:w="540" w:type="dxa"/>
            <w:shd w:val="clear" w:color="auto" w:fill="F2F2F2"/>
          </w:tcPr>
          <w:p w14:paraId="2072CEFD" w14:textId="77777777" w:rsidR="003C045B" w:rsidRPr="00556412" w:rsidRDefault="003C045B" w:rsidP="00556412">
            <w:pPr>
              <w:spacing w:line="240" w:lineRule="atLeast"/>
              <w:jc w:val="center"/>
              <w:rPr>
                <w:rFonts w:ascii="Times New Roman" w:eastAsia="Calibri" w:hAnsi="Times New Roman" w:cs="Times New Roman"/>
                <w:i/>
                <w:sz w:val="18"/>
                <w:szCs w:val="18"/>
              </w:rPr>
            </w:pPr>
          </w:p>
        </w:tc>
        <w:tc>
          <w:tcPr>
            <w:tcW w:w="5400" w:type="dxa"/>
            <w:shd w:val="clear" w:color="auto" w:fill="FFFFFF" w:themeFill="background1"/>
          </w:tcPr>
          <w:p w14:paraId="22C60953" w14:textId="77777777" w:rsidR="00156C96" w:rsidRPr="00556412" w:rsidRDefault="00266B43" w:rsidP="00556412">
            <w:pPr>
              <w:pStyle w:val="Heading3"/>
              <w:spacing w:line="240" w:lineRule="atLeast"/>
              <w:jc w:val="both"/>
              <w:rPr>
                <w:b w:val="0"/>
                <w:sz w:val="18"/>
                <w:szCs w:val="18"/>
              </w:rPr>
            </w:pPr>
            <w:r w:rsidRPr="00556412">
              <w:rPr>
                <w:rFonts w:eastAsia="Calibri"/>
                <w:b w:val="0"/>
                <w:iCs/>
                <w:sz w:val="18"/>
                <w:szCs w:val="18"/>
              </w:rPr>
              <w:t xml:space="preserve">15. </w:t>
            </w:r>
            <w:r w:rsidR="00156C96" w:rsidRPr="00556412">
              <w:rPr>
                <w:rFonts w:eastAsia="Calibri"/>
                <w:b w:val="0"/>
                <w:iCs/>
                <w:sz w:val="18"/>
                <w:szCs w:val="18"/>
              </w:rPr>
              <w:t>“</w:t>
            </w:r>
            <w:r w:rsidR="00156C96" w:rsidRPr="00556412">
              <w:rPr>
                <w:sz w:val="18"/>
                <w:szCs w:val="18"/>
              </w:rPr>
              <w:t>marrëveshje e çmimit në avancë</w:t>
            </w:r>
            <w:r w:rsidR="00156C96" w:rsidRPr="00556412">
              <w:rPr>
                <w:b w:val="0"/>
                <w:sz w:val="18"/>
                <w:szCs w:val="18"/>
              </w:rPr>
              <w:t>” nënkupton çdo marrëveshje, komunikim ose çdo instrument apo veprim tjetër me efekte të ngjashme, përfshirë edhe atë të lëshuar, ndryshuar ose rinovuar në kuadrin e një kontrolli tatimor, dhe që plotëson kushtet e mëposhtme:</w:t>
            </w:r>
          </w:p>
          <w:p w14:paraId="4C7BA692" w14:textId="77777777" w:rsidR="00156C96" w:rsidRPr="00556412" w:rsidRDefault="00156C96" w:rsidP="00556412">
            <w:pPr>
              <w:spacing w:line="240" w:lineRule="atLeast"/>
              <w:rPr>
                <w:rFonts w:ascii="Times New Roman" w:eastAsia="Times New Roman" w:hAnsi="Times New Roman" w:cs="Times New Roman"/>
                <w:b/>
                <w:bCs/>
                <w:sz w:val="18"/>
                <w:szCs w:val="18"/>
              </w:rPr>
            </w:pPr>
            <w:r w:rsidRPr="00556412">
              <w:rPr>
                <w:rFonts w:ascii="Times New Roman" w:eastAsia="Times New Roman" w:hAnsi="Times New Roman" w:cs="Times New Roman"/>
                <w:bCs/>
                <w:sz w:val="18"/>
                <w:szCs w:val="18"/>
              </w:rPr>
              <w:t>(a)</w:t>
            </w:r>
            <w:r w:rsidRPr="00556412">
              <w:rPr>
                <w:rFonts w:ascii="Times New Roman" w:eastAsia="Times New Roman" w:hAnsi="Times New Roman" w:cs="Times New Roman"/>
                <w:sz w:val="18"/>
                <w:szCs w:val="18"/>
              </w:rPr>
              <w:t xml:space="preserve"> është lëshuar, ndryshuar ose rinovuar nga, ose në emër të, qeverisë ose autoritetit tatimor të një ose më shumë shteteve anëtare, përfshirë çdo ndarje territoriale ose administrative të tyre, duke përfshirë autoritetet vendore, pavarësisht nëse përdoret efektivisht apo jo;</w:t>
            </w:r>
          </w:p>
          <w:p w14:paraId="67186435" w14:textId="6B1CD747" w:rsidR="00156C96" w:rsidRPr="00556412" w:rsidRDefault="00156C96" w:rsidP="00556412">
            <w:pPr>
              <w:spacing w:line="240" w:lineRule="atLeast"/>
              <w:jc w:val="both"/>
              <w:rPr>
                <w:rFonts w:ascii="Times New Roman" w:eastAsia="Times New Roman" w:hAnsi="Times New Roman" w:cs="Times New Roman"/>
                <w:sz w:val="18"/>
                <w:szCs w:val="18"/>
              </w:rPr>
            </w:pPr>
            <w:r w:rsidRPr="00556412">
              <w:rPr>
                <w:rFonts w:ascii="Times New Roman" w:eastAsia="Times New Roman" w:hAnsi="Times New Roman" w:cs="Times New Roman"/>
                <w:bCs/>
                <w:sz w:val="18"/>
                <w:szCs w:val="18"/>
              </w:rPr>
              <w:t>(b)</w:t>
            </w:r>
            <w:r w:rsidRPr="00556412">
              <w:rPr>
                <w:rFonts w:ascii="Times New Roman" w:eastAsia="Times New Roman" w:hAnsi="Times New Roman" w:cs="Times New Roman"/>
                <w:sz w:val="18"/>
                <w:szCs w:val="18"/>
              </w:rPr>
              <w:t xml:space="preserve"> është lëshuar, ndryshuar ose rinovuar për një person të caktuar ose një grup personash dhe mbi të cilin ky person ose ky grup personash ka të drejtë të mbështetet; dhe</w:t>
            </w:r>
          </w:p>
          <w:p w14:paraId="14C14CE6" w14:textId="343EB55D" w:rsidR="00156C96" w:rsidRPr="00556412" w:rsidRDefault="00156C96" w:rsidP="00556412">
            <w:pPr>
              <w:spacing w:line="240" w:lineRule="atLeast"/>
              <w:jc w:val="both"/>
              <w:rPr>
                <w:rFonts w:ascii="Times New Roman" w:eastAsia="Times New Roman" w:hAnsi="Times New Roman" w:cs="Times New Roman"/>
                <w:sz w:val="18"/>
                <w:szCs w:val="18"/>
              </w:rPr>
            </w:pPr>
            <w:r w:rsidRPr="00556412">
              <w:rPr>
                <w:rFonts w:ascii="Times New Roman" w:eastAsia="Times New Roman" w:hAnsi="Times New Roman" w:cs="Times New Roman"/>
                <w:sz w:val="18"/>
                <w:szCs w:val="18"/>
              </w:rPr>
              <w:lastRenderedPageBreak/>
              <w:t xml:space="preserve">(c) përcakton paraprakisht, përpara transaksioneve ndërkufitare ndërmjet ndërmarrjeve të lidhura, një grup të përshtatshëm kriteresh për përcaktimin e </w:t>
            </w:r>
            <w:r w:rsidR="00853579" w:rsidRPr="00556412">
              <w:rPr>
                <w:rFonts w:ascii="Times New Roman" w:eastAsia="Times New Roman" w:hAnsi="Times New Roman" w:cs="Times New Roman"/>
                <w:sz w:val="18"/>
                <w:szCs w:val="18"/>
              </w:rPr>
              <w:t xml:space="preserve">transferimit të </w:t>
            </w:r>
            <w:r w:rsidRPr="00556412">
              <w:rPr>
                <w:rFonts w:ascii="Times New Roman" w:eastAsia="Times New Roman" w:hAnsi="Times New Roman" w:cs="Times New Roman"/>
                <w:sz w:val="18"/>
                <w:szCs w:val="18"/>
              </w:rPr>
              <w:t>çmimeve për këto transaksione ose përcakton atribuimin e fitimeve një selie të përhershme.</w:t>
            </w:r>
          </w:p>
          <w:p w14:paraId="12C3E907" w14:textId="77777777" w:rsidR="00156C96" w:rsidRPr="00556412" w:rsidRDefault="00156C96" w:rsidP="00556412">
            <w:pPr>
              <w:spacing w:before="100" w:beforeAutospacing="1" w:after="100" w:afterAutospacing="1" w:line="240" w:lineRule="atLeast"/>
              <w:jc w:val="both"/>
              <w:rPr>
                <w:rFonts w:ascii="Times New Roman" w:eastAsia="Times New Roman" w:hAnsi="Times New Roman" w:cs="Times New Roman"/>
                <w:sz w:val="18"/>
                <w:szCs w:val="18"/>
              </w:rPr>
            </w:pPr>
            <w:r w:rsidRPr="00556412">
              <w:rPr>
                <w:rFonts w:ascii="Times New Roman" w:eastAsia="Times New Roman" w:hAnsi="Times New Roman" w:cs="Times New Roman"/>
                <w:bCs/>
                <w:sz w:val="18"/>
                <w:szCs w:val="18"/>
              </w:rPr>
              <w:t>Ndërmarrjet konsiderohen si ndërmarrje të lidhura kur një ndërmarrje merr pjesë drejtpërdrejt ose tërthorazi në menaxhimin, kontrollin ose kapitalin e një ndërmarrjeje tjetër, ose kur të njëjtët persona marrin pjesë drejtpërdrejt ose tërthorazi në menaxhimin, kontrollin ose kapitalin e ndërmarrjeve.</w:t>
            </w:r>
          </w:p>
          <w:p w14:paraId="6F7B7ABA" w14:textId="03C8BDAD" w:rsidR="003C045B" w:rsidRPr="00556412" w:rsidRDefault="00853579" w:rsidP="00556412">
            <w:pPr>
              <w:spacing w:before="100" w:beforeAutospacing="1" w:after="100" w:afterAutospacing="1" w:line="240" w:lineRule="atLeast"/>
              <w:jc w:val="both"/>
              <w:rPr>
                <w:rFonts w:ascii="Times New Roman" w:eastAsia="Times New Roman" w:hAnsi="Times New Roman" w:cs="Times New Roman"/>
                <w:sz w:val="18"/>
                <w:szCs w:val="18"/>
              </w:rPr>
            </w:pPr>
            <w:r w:rsidRPr="00556412">
              <w:rPr>
                <w:rFonts w:ascii="Times New Roman" w:eastAsia="Times New Roman" w:hAnsi="Times New Roman" w:cs="Times New Roman"/>
                <w:bCs/>
                <w:sz w:val="18"/>
                <w:szCs w:val="18"/>
              </w:rPr>
              <w:t>T</w:t>
            </w:r>
            <w:r w:rsidR="00156C96" w:rsidRPr="00556412">
              <w:rPr>
                <w:rFonts w:ascii="Times New Roman" w:eastAsia="Times New Roman" w:hAnsi="Times New Roman" w:cs="Times New Roman"/>
                <w:bCs/>
                <w:sz w:val="18"/>
                <w:szCs w:val="18"/>
              </w:rPr>
              <w:t>ransferim</w:t>
            </w:r>
            <w:r w:rsidRPr="00556412">
              <w:rPr>
                <w:rFonts w:ascii="Times New Roman" w:eastAsia="Times New Roman" w:hAnsi="Times New Roman" w:cs="Times New Roman"/>
                <w:bCs/>
                <w:sz w:val="18"/>
                <w:szCs w:val="18"/>
              </w:rPr>
              <w:t xml:space="preserve">et e cmimit i </w:t>
            </w:r>
            <w:r w:rsidR="00156C96" w:rsidRPr="00556412">
              <w:rPr>
                <w:rFonts w:ascii="Times New Roman" w:eastAsia="Times New Roman" w:hAnsi="Times New Roman" w:cs="Times New Roman"/>
                <w:bCs/>
                <w:sz w:val="18"/>
                <w:szCs w:val="18"/>
              </w:rPr>
              <w:t xml:space="preserve"> janë çmimet me të cilat një ndërmarrje transferon mallra materiale dhe pasuri të paprekshme ose ofron shërbime ndaj ndërmarrjeve të lidhura, dhe termi “</w:t>
            </w:r>
            <w:r w:rsidRPr="00556412">
              <w:rPr>
                <w:rFonts w:ascii="Times New Roman" w:eastAsia="Times New Roman" w:hAnsi="Times New Roman" w:cs="Times New Roman"/>
                <w:bCs/>
                <w:sz w:val="18"/>
                <w:szCs w:val="18"/>
              </w:rPr>
              <w:t xml:space="preserve"> transferim </w:t>
            </w:r>
            <w:r w:rsidR="00156C96" w:rsidRPr="00556412">
              <w:rPr>
                <w:rFonts w:ascii="Times New Roman" w:eastAsia="Times New Roman" w:hAnsi="Times New Roman" w:cs="Times New Roman"/>
                <w:bCs/>
                <w:sz w:val="18"/>
                <w:szCs w:val="18"/>
              </w:rPr>
              <w:t>çmim</w:t>
            </w:r>
            <w:r w:rsidRPr="00556412">
              <w:rPr>
                <w:rFonts w:ascii="Times New Roman" w:eastAsia="Times New Roman" w:hAnsi="Times New Roman" w:cs="Times New Roman"/>
                <w:bCs/>
                <w:sz w:val="18"/>
                <w:szCs w:val="18"/>
              </w:rPr>
              <w:t>i</w:t>
            </w:r>
            <w:r w:rsidR="00156C96" w:rsidRPr="00556412">
              <w:rPr>
                <w:rFonts w:ascii="Times New Roman" w:eastAsia="Times New Roman" w:hAnsi="Times New Roman" w:cs="Times New Roman"/>
                <w:bCs/>
                <w:sz w:val="18"/>
                <w:szCs w:val="18"/>
              </w:rPr>
              <w:t>” interpretohet në përputhje me këtë përkufizim</w:t>
            </w:r>
            <w:r w:rsidR="00156C96" w:rsidRPr="00556412">
              <w:rPr>
                <w:rFonts w:ascii="Times New Roman" w:eastAsia="Times New Roman" w:hAnsi="Times New Roman" w:cs="Times New Roman"/>
                <w:b/>
                <w:bCs/>
                <w:sz w:val="18"/>
                <w:szCs w:val="18"/>
              </w:rPr>
              <w:t>.</w:t>
            </w:r>
          </w:p>
        </w:tc>
        <w:tc>
          <w:tcPr>
            <w:tcW w:w="540" w:type="dxa"/>
            <w:shd w:val="clear" w:color="auto" w:fill="FFFFFF" w:themeFill="background1"/>
          </w:tcPr>
          <w:p w14:paraId="6F2021F6" w14:textId="77777777" w:rsidR="003C045B" w:rsidRPr="00556412" w:rsidRDefault="003C045B" w:rsidP="00556412">
            <w:pPr>
              <w:spacing w:line="240" w:lineRule="atLeast"/>
              <w:jc w:val="center"/>
              <w:rPr>
                <w:rFonts w:ascii="Times New Roman" w:eastAsia="Calibri" w:hAnsi="Times New Roman" w:cs="Times New Roman"/>
                <w:sz w:val="18"/>
                <w:szCs w:val="18"/>
              </w:rPr>
            </w:pPr>
          </w:p>
        </w:tc>
        <w:tc>
          <w:tcPr>
            <w:tcW w:w="630" w:type="dxa"/>
            <w:shd w:val="clear" w:color="auto" w:fill="FFFFFF" w:themeFill="background1"/>
          </w:tcPr>
          <w:p w14:paraId="63F2D938" w14:textId="77777777" w:rsidR="00AB5C28" w:rsidRPr="00556412" w:rsidRDefault="00AB5C28" w:rsidP="00556412">
            <w:pPr>
              <w:spacing w:line="240" w:lineRule="atLeast"/>
              <w:jc w:val="center"/>
              <w:rPr>
                <w:rFonts w:ascii="Times New Roman" w:eastAsia="Calibri" w:hAnsi="Times New Roman" w:cs="Times New Roman"/>
                <w:sz w:val="18"/>
                <w:szCs w:val="18"/>
              </w:rPr>
            </w:pPr>
          </w:p>
          <w:p w14:paraId="3EC3C5E4" w14:textId="1AFFD749" w:rsidR="003C045B" w:rsidRPr="00556412" w:rsidRDefault="00217F04" w:rsidP="00556412">
            <w:pPr>
              <w:spacing w:line="240" w:lineRule="atLeast"/>
              <w:jc w:val="center"/>
              <w:rPr>
                <w:rFonts w:ascii="Times New Roman" w:eastAsia="Calibri" w:hAnsi="Times New Roman" w:cs="Times New Roman"/>
                <w:sz w:val="18"/>
                <w:szCs w:val="18"/>
              </w:rPr>
            </w:pPr>
            <w:r w:rsidRPr="00556412">
              <w:rPr>
                <w:rFonts w:ascii="Times New Roman" w:eastAsia="Calibri" w:hAnsi="Times New Roman" w:cs="Times New Roman"/>
                <w:sz w:val="18"/>
                <w:szCs w:val="18"/>
              </w:rPr>
              <w:t>Neni</w:t>
            </w:r>
            <w:r w:rsidR="00EC4617" w:rsidRPr="00556412">
              <w:rPr>
                <w:rFonts w:ascii="Times New Roman" w:eastAsia="Calibri" w:hAnsi="Times New Roman" w:cs="Times New Roman"/>
                <w:sz w:val="18"/>
                <w:szCs w:val="18"/>
              </w:rPr>
              <w:t xml:space="preserve"> 2</w:t>
            </w:r>
          </w:p>
        </w:tc>
        <w:tc>
          <w:tcPr>
            <w:tcW w:w="4964" w:type="dxa"/>
            <w:shd w:val="clear" w:color="auto" w:fill="FFFFFF" w:themeFill="background1"/>
          </w:tcPr>
          <w:p w14:paraId="453AEEE9" w14:textId="0114CF6D" w:rsidR="00EC4617" w:rsidRPr="00556412" w:rsidRDefault="00EC4617" w:rsidP="00556412">
            <w:pPr>
              <w:spacing w:line="240" w:lineRule="atLeast"/>
              <w:jc w:val="center"/>
              <w:rPr>
                <w:rFonts w:ascii="Times New Roman" w:hAnsi="Times New Roman" w:cs="Times New Roman"/>
                <w:b/>
                <w:sz w:val="18"/>
                <w:szCs w:val="18"/>
              </w:rPr>
            </w:pPr>
            <w:r w:rsidRPr="00556412">
              <w:rPr>
                <w:rFonts w:ascii="Times New Roman" w:hAnsi="Times New Roman" w:cs="Times New Roman"/>
                <w:b/>
                <w:sz w:val="18"/>
                <w:szCs w:val="18"/>
              </w:rPr>
              <w:t>Neni 2</w:t>
            </w:r>
          </w:p>
          <w:p w14:paraId="4A420BBA" w14:textId="77777777" w:rsidR="00205E01" w:rsidRPr="00556412" w:rsidRDefault="00205E01" w:rsidP="00556412">
            <w:pPr>
              <w:spacing w:line="240" w:lineRule="atLeast"/>
              <w:jc w:val="center"/>
              <w:rPr>
                <w:rFonts w:ascii="Times New Roman" w:hAnsi="Times New Roman" w:cs="Times New Roman"/>
                <w:b/>
                <w:sz w:val="18"/>
                <w:szCs w:val="18"/>
              </w:rPr>
            </w:pPr>
          </w:p>
          <w:p w14:paraId="00EC3312" w14:textId="32A049F5" w:rsidR="00EC4617" w:rsidRPr="00556412" w:rsidRDefault="00EC4617" w:rsidP="00556412">
            <w:pPr>
              <w:spacing w:line="240" w:lineRule="atLeast"/>
              <w:jc w:val="center"/>
              <w:rPr>
                <w:rFonts w:ascii="Times New Roman" w:hAnsi="Times New Roman" w:cs="Times New Roman"/>
                <w:b/>
                <w:sz w:val="18"/>
                <w:szCs w:val="18"/>
              </w:rPr>
            </w:pPr>
            <w:r w:rsidRPr="00556412">
              <w:rPr>
                <w:rFonts w:ascii="Times New Roman" w:hAnsi="Times New Roman" w:cs="Times New Roman"/>
                <w:b/>
                <w:sz w:val="18"/>
                <w:szCs w:val="18"/>
              </w:rPr>
              <w:t>Përkufizimet</w:t>
            </w:r>
          </w:p>
          <w:p w14:paraId="64921BCA" w14:textId="2413ED8C" w:rsidR="003C045B" w:rsidRPr="00556412" w:rsidRDefault="003C045B" w:rsidP="00556412">
            <w:pPr>
              <w:spacing w:line="240" w:lineRule="atLeast"/>
              <w:rPr>
                <w:rFonts w:ascii="Times New Roman" w:hAnsi="Times New Roman" w:cs="Times New Roman"/>
                <w:sz w:val="18"/>
                <w:szCs w:val="18"/>
              </w:rPr>
            </w:pPr>
          </w:p>
          <w:p w14:paraId="1C7D2C05" w14:textId="4EED4FA2" w:rsidR="00534507" w:rsidRPr="00556412" w:rsidRDefault="002351EE" w:rsidP="00556412">
            <w:pPr>
              <w:spacing w:line="240" w:lineRule="atLeast"/>
              <w:jc w:val="both"/>
              <w:rPr>
                <w:rFonts w:ascii="Times New Roman" w:hAnsi="Times New Roman" w:cs="Times New Roman"/>
                <w:sz w:val="18"/>
                <w:szCs w:val="18"/>
              </w:rPr>
            </w:pPr>
            <w:r w:rsidRPr="00556412">
              <w:rPr>
                <w:rFonts w:ascii="Times New Roman" w:hAnsi="Times New Roman" w:cs="Times New Roman"/>
                <w:sz w:val="18"/>
                <w:szCs w:val="18"/>
              </w:rPr>
              <w:t xml:space="preserve">  </w:t>
            </w:r>
            <w:r w:rsidR="00534507" w:rsidRPr="00556412">
              <w:rPr>
                <w:rFonts w:ascii="Times New Roman" w:hAnsi="Times New Roman" w:cs="Times New Roman"/>
                <w:sz w:val="18"/>
                <w:szCs w:val="18"/>
              </w:rPr>
              <w:t>6.</w:t>
            </w:r>
            <w:r w:rsidR="005E5EC7" w:rsidRPr="00556412">
              <w:rPr>
                <w:rFonts w:ascii="Times New Roman" w:hAnsi="Times New Roman" w:cs="Times New Roman"/>
                <w:sz w:val="18"/>
                <w:szCs w:val="18"/>
              </w:rPr>
              <w:t xml:space="preserve"> </w:t>
            </w:r>
            <w:r w:rsidR="00534507" w:rsidRPr="00556412">
              <w:rPr>
                <w:rFonts w:ascii="Times New Roman" w:hAnsi="Times New Roman" w:cs="Times New Roman"/>
                <w:b/>
                <w:sz w:val="18"/>
                <w:szCs w:val="18"/>
              </w:rPr>
              <w:t>Marrëveshja e  Çmimit në Avancë (MÇA</w:t>
            </w:r>
            <w:r w:rsidR="00534507" w:rsidRPr="00556412">
              <w:rPr>
                <w:rFonts w:ascii="Times New Roman" w:hAnsi="Times New Roman" w:cs="Times New Roman"/>
                <w:sz w:val="18"/>
                <w:szCs w:val="18"/>
              </w:rPr>
              <w:t>) nënkupton çdo marrëveshje, komunikim ose çdo instrument apo masë tjetër me efekte të ngjashme, duke përfshirë edhe një marrëveshje të lëshuar, të ndryshuar ose të rinovuar në kuadrin e një kontrolli tatimor dhe që plotëson kushtet e mëposhtme:</w:t>
            </w:r>
          </w:p>
          <w:p w14:paraId="090E8D58" w14:textId="7A7A8A12" w:rsidR="00534507" w:rsidRPr="00556412" w:rsidRDefault="00534507" w:rsidP="00556412">
            <w:pPr>
              <w:spacing w:line="240" w:lineRule="atLeast"/>
              <w:jc w:val="both"/>
              <w:rPr>
                <w:rFonts w:ascii="Times New Roman" w:hAnsi="Times New Roman" w:cs="Times New Roman"/>
                <w:sz w:val="18"/>
                <w:szCs w:val="18"/>
              </w:rPr>
            </w:pPr>
            <w:r w:rsidRPr="00556412">
              <w:rPr>
                <w:rFonts w:ascii="Times New Roman" w:hAnsi="Times New Roman" w:cs="Times New Roman"/>
                <w:sz w:val="18"/>
                <w:szCs w:val="18"/>
              </w:rPr>
              <w:t>a)</w:t>
            </w:r>
            <w:r w:rsidR="000957A0" w:rsidRPr="00556412">
              <w:rPr>
                <w:rFonts w:ascii="Times New Roman" w:hAnsi="Times New Roman" w:cs="Times New Roman"/>
                <w:sz w:val="18"/>
                <w:szCs w:val="18"/>
              </w:rPr>
              <w:t xml:space="preserve"> </w:t>
            </w:r>
            <w:r w:rsidRPr="00556412">
              <w:rPr>
                <w:rFonts w:ascii="Times New Roman" w:hAnsi="Times New Roman" w:cs="Times New Roman"/>
                <w:sz w:val="18"/>
                <w:szCs w:val="18"/>
              </w:rPr>
              <w:t xml:space="preserve">lëshohet, ndryshohet ose rinovohet nga, ose në emër të qeverisë apo të autoritetit tatimor të një ose më shumë shteteve anëtare, ose në nënndarjet territoriale ose administrative të tyre, duke përfshirë </w:t>
            </w:r>
            <w:r w:rsidRPr="00556412">
              <w:rPr>
                <w:rFonts w:ascii="Times New Roman" w:hAnsi="Times New Roman" w:cs="Times New Roman"/>
                <w:sz w:val="18"/>
                <w:szCs w:val="18"/>
              </w:rPr>
              <w:lastRenderedPageBreak/>
              <w:t>autoritetet lokale, pavarësisht nëse përdoret apo jo në mënyrë efektive</w:t>
            </w:r>
          </w:p>
          <w:p w14:paraId="0E510E10" w14:textId="5E32F9D1" w:rsidR="00534507" w:rsidRPr="00556412" w:rsidRDefault="00534507" w:rsidP="00556412">
            <w:pPr>
              <w:spacing w:line="240" w:lineRule="atLeast"/>
              <w:jc w:val="both"/>
              <w:rPr>
                <w:rFonts w:ascii="Times New Roman" w:hAnsi="Times New Roman" w:cs="Times New Roman"/>
                <w:sz w:val="18"/>
                <w:szCs w:val="18"/>
              </w:rPr>
            </w:pPr>
            <w:r w:rsidRPr="00556412">
              <w:rPr>
                <w:rFonts w:ascii="Times New Roman" w:hAnsi="Times New Roman" w:cs="Times New Roman"/>
                <w:sz w:val="18"/>
                <w:szCs w:val="18"/>
              </w:rPr>
              <w:t>b)</w:t>
            </w:r>
            <w:r w:rsidR="000957A0" w:rsidRPr="00556412">
              <w:rPr>
                <w:rFonts w:ascii="Times New Roman" w:hAnsi="Times New Roman" w:cs="Times New Roman"/>
                <w:sz w:val="18"/>
                <w:szCs w:val="18"/>
              </w:rPr>
              <w:t xml:space="preserve"> </w:t>
            </w:r>
            <w:r w:rsidRPr="00556412">
              <w:rPr>
                <w:rFonts w:ascii="Times New Roman" w:hAnsi="Times New Roman" w:cs="Times New Roman"/>
                <w:sz w:val="18"/>
                <w:szCs w:val="18"/>
              </w:rPr>
              <w:t>lëshohet, ndryshohet ose rinovohet, për një person të caktuar ose për një grup personash dhe mbi të cilin ai person ose grup personash kanë të drejtë të mbështetet; dhe</w:t>
            </w:r>
          </w:p>
          <w:p w14:paraId="0F27DCC6" w14:textId="6BDBFE0C" w:rsidR="006D648E" w:rsidRPr="00556412" w:rsidRDefault="00534507" w:rsidP="00556412">
            <w:pPr>
              <w:spacing w:line="240" w:lineRule="atLeast"/>
              <w:jc w:val="both"/>
              <w:rPr>
                <w:rFonts w:ascii="Times New Roman" w:hAnsi="Times New Roman" w:cs="Times New Roman"/>
                <w:sz w:val="18"/>
                <w:szCs w:val="18"/>
              </w:rPr>
            </w:pPr>
            <w:r w:rsidRPr="00556412">
              <w:rPr>
                <w:rFonts w:ascii="Times New Roman" w:hAnsi="Times New Roman" w:cs="Times New Roman"/>
                <w:sz w:val="18"/>
                <w:szCs w:val="18"/>
              </w:rPr>
              <w:t>c)</w:t>
            </w:r>
            <w:r w:rsidR="000957A0" w:rsidRPr="00556412">
              <w:rPr>
                <w:rFonts w:ascii="Times New Roman" w:hAnsi="Times New Roman" w:cs="Times New Roman"/>
                <w:sz w:val="18"/>
                <w:szCs w:val="18"/>
              </w:rPr>
              <w:t xml:space="preserve"> </w:t>
            </w:r>
            <w:r w:rsidRPr="00556412">
              <w:rPr>
                <w:rFonts w:ascii="Times New Roman" w:hAnsi="Times New Roman" w:cs="Times New Roman"/>
                <w:sz w:val="18"/>
                <w:szCs w:val="18"/>
              </w:rPr>
              <w:t>përcakton, përpara transaksioneve ndërkufitare mes subjekteve të lidhura, një grup kriteresh të përshtatshme për përcaktimin e çmimit të transferimit për këto transaksione ose përcakton shpërndarjen e fitimeve për një seli të përhershme</w:t>
            </w:r>
            <w:r w:rsidR="002351EE" w:rsidRPr="00556412">
              <w:rPr>
                <w:rFonts w:ascii="Times New Roman" w:hAnsi="Times New Roman" w:cs="Times New Roman"/>
                <w:sz w:val="18"/>
                <w:szCs w:val="18"/>
              </w:rPr>
              <w:t xml:space="preserve">                   </w:t>
            </w:r>
          </w:p>
          <w:p w14:paraId="0C5F2497" w14:textId="77777777" w:rsidR="00D827AD" w:rsidRPr="00556412" w:rsidRDefault="00D827AD" w:rsidP="00556412">
            <w:pPr>
              <w:spacing w:line="240" w:lineRule="atLeast"/>
              <w:rPr>
                <w:rFonts w:ascii="Times New Roman" w:hAnsi="Times New Roman" w:cs="Times New Roman"/>
                <w:sz w:val="18"/>
                <w:szCs w:val="18"/>
              </w:rPr>
            </w:pPr>
          </w:p>
          <w:p w14:paraId="66C22D77" w14:textId="77777777" w:rsidR="00534507" w:rsidRPr="00556412" w:rsidRDefault="00534507" w:rsidP="00556412">
            <w:pPr>
              <w:spacing w:line="240" w:lineRule="atLeast"/>
              <w:jc w:val="both"/>
              <w:rPr>
                <w:rFonts w:ascii="Times New Roman" w:hAnsi="Times New Roman" w:cs="Times New Roman"/>
                <w:sz w:val="18"/>
                <w:szCs w:val="18"/>
              </w:rPr>
            </w:pPr>
          </w:p>
          <w:p w14:paraId="226CCEBA" w14:textId="3CBA9F44" w:rsidR="00534507" w:rsidRPr="00556412" w:rsidRDefault="00534507" w:rsidP="00556412">
            <w:pPr>
              <w:spacing w:line="240" w:lineRule="atLeast"/>
              <w:jc w:val="both"/>
              <w:rPr>
                <w:rFonts w:ascii="Times New Roman" w:hAnsi="Times New Roman" w:cs="Times New Roman"/>
                <w:sz w:val="18"/>
                <w:szCs w:val="18"/>
              </w:rPr>
            </w:pPr>
            <w:r w:rsidRPr="00556412">
              <w:rPr>
                <w:rFonts w:ascii="Times New Roman" w:hAnsi="Times New Roman" w:cs="Times New Roman"/>
                <w:sz w:val="18"/>
                <w:szCs w:val="18"/>
              </w:rPr>
              <w:t>7.</w:t>
            </w:r>
            <w:r w:rsidR="000957A0" w:rsidRPr="00556412">
              <w:rPr>
                <w:rFonts w:ascii="Times New Roman" w:hAnsi="Times New Roman" w:cs="Times New Roman"/>
                <w:sz w:val="18"/>
                <w:szCs w:val="18"/>
              </w:rPr>
              <w:t xml:space="preserve"> </w:t>
            </w:r>
            <w:r w:rsidRPr="00556412">
              <w:rPr>
                <w:rFonts w:ascii="Times New Roman" w:hAnsi="Times New Roman" w:cs="Times New Roman"/>
                <w:b/>
                <w:sz w:val="18"/>
                <w:szCs w:val="18"/>
              </w:rPr>
              <w:t>Ndërmarrjet</w:t>
            </w:r>
            <w:r w:rsidRPr="00556412">
              <w:rPr>
                <w:rFonts w:ascii="Times New Roman" w:hAnsi="Times New Roman" w:cs="Times New Roman"/>
                <w:sz w:val="18"/>
                <w:szCs w:val="18"/>
              </w:rPr>
              <w:t xml:space="preserve"> janë ndërmarrje të lidhura ku një ndërmarrje merr pjesë direkt ose indirekt në menaxhimin, kontrollin ose kapitalin e një ndërmarrje tjetër ose personat e njëjtë marrin pjesë drejtpërdrejtë ose tërthorazi në menaxhimin, kontrollin ose kapitalin e ndërmarrjeve.</w:t>
            </w:r>
          </w:p>
          <w:p w14:paraId="2C8C99DF" w14:textId="77777777" w:rsidR="00534507" w:rsidRPr="00556412" w:rsidRDefault="00534507" w:rsidP="00556412">
            <w:pPr>
              <w:spacing w:line="240" w:lineRule="atLeast"/>
              <w:jc w:val="both"/>
              <w:rPr>
                <w:rFonts w:ascii="Times New Roman" w:hAnsi="Times New Roman" w:cs="Times New Roman"/>
                <w:sz w:val="18"/>
                <w:szCs w:val="18"/>
              </w:rPr>
            </w:pPr>
          </w:p>
          <w:p w14:paraId="778B887A" w14:textId="18D64F48" w:rsidR="00D827AD" w:rsidRPr="00556412" w:rsidRDefault="00D827AD" w:rsidP="00556412">
            <w:pPr>
              <w:spacing w:line="240" w:lineRule="atLeast"/>
              <w:jc w:val="both"/>
              <w:rPr>
                <w:rFonts w:ascii="Times New Roman" w:hAnsi="Times New Roman" w:cs="Times New Roman"/>
                <w:sz w:val="18"/>
                <w:szCs w:val="18"/>
              </w:rPr>
            </w:pPr>
            <w:r w:rsidRPr="00556412">
              <w:rPr>
                <w:rFonts w:ascii="Times New Roman" w:hAnsi="Times New Roman" w:cs="Times New Roman"/>
                <w:sz w:val="18"/>
                <w:szCs w:val="18"/>
              </w:rPr>
              <w:t>14.</w:t>
            </w:r>
            <w:r w:rsidR="000957A0" w:rsidRPr="00556412">
              <w:rPr>
                <w:rFonts w:ascii="Times New Roman" w:hAnsi="Times New Roman" w:cs="Times New Roman"/>
                <w:sz w:val="18"/>
                <w:szCs w:val="18"/>
              </w:rPr>
              <w:t xml:space="preserve"> </w:t>
            </w:r>
            <w:r w:rsidRPr="00556412">
              <w:rPr>
                <w:rFonts w:ascii="Times New Roman" w:hAnsi="Times New Roman" w:cs="Times New Roman"/>
                <w:b/>
                <w:sz w:val="18"/>
                <w:szCs w:val="18"/>
              </w:rPr>
              <w:t>Transferimi i Çmimit</w:t>
            </w:r>
            <w:r w:rsidRPr="00556412">
              <w:rPr>
                <w:rFonts w:ascii="Times New Roman" w:hAnsi="Times New Roman" w:cs="Times New Roman"/>
                <w:sz w:val="18"/>
                <w:szCs w:val="18"/>
              </w:rPr>
              <w:t xml:space="preserve"> janë çmimet me të cilat një ndërmarrje transferon mallra fizike dhe pasuri të paprekshme ose ofron shërbime për ndërmarrjet e lidhura, dhe “transferimi i çmimit” duhet të interpretohet në përputhje me rrethanat.</w:t>
            </w:r>
          </w:p>
        </w:tc>
        <w:tc>
          <w:tcPr>
            <w:tcW w:w="976" w:type="dxa"/>
            <w:shd w:val="clear" w:color="auto" w:fill="FFFFFF" w:themeFill="background1"/>
          </w:tcPr>
          <w:p w14:paraId="3EFFA98E" w14:textId="045381B2" w:rsidR="003C045B" w:rsidRPr="00556412" w:rsidRDefault="00EC4617" w:rsidP="00556412">
            <w:pPr>
              <w:spacing w:line="240" w:lineRule="atLeast"/>
              <w:jc w:val="center"/>
              <w:rPr>
                <w:rFonts w:ascii="Times New Roman" w:eastAsia="Calibri" w:hAnsi="Times New Roman" w:cs="Times New Roman"/>
                <w:sz w:val="18"/>
                <w:szCs w:val="18"/>
              </w:rPr>
            </w:pPr>
            <w:r w:rsidRPr="00556412">
              <w:rPr>
                <w:rFonts w:ascii="Times New Roman" w:eastAsia="Calibri" w:hAnsi="Times New Roman" w:cs="Times New Roman"/>
                <w:sz w:val="18"/>
                <w:szCs w:val="18"/>
              </w:rPr>
              <w:lastRenderedPageBreak/>
              <w:t>F</w:t>
            </w:r>
          </w:p>
        </w:tc>
        <w:tc>
          <w:tcPr>
            <w:tcW w:w="3150" w:type="dxa"/>
            <w:shd w:val="clear" w:color="auto" w:fill="FFFFFF" w:themeFill="background1"/>
          </w:tcPr>
          <w:p w14:paraId="71188287" w14:textId="489CC9FB" w:rsidR="003C045B" w:rsidRPr="00556412" w:rsidRDefault="003C045B" w:rsidP="00556412">
            <w:pPr>
              <w:spacing w:line="240" w:lineRule="atLeast"/>
              <w:rPr>
                <w:rFonts w:ascii="Times New Roman" w:eastAsia="Calibri" w:hAnsi="Times New Roman" w:cs="Times New Roman"/>
                <w:sz w:val="18"/>
                <w:szCs w:val="18"/>
              </w:rPr>
            </w:pPr>
          </w:p>
        </w:tc>
      </w:tr>
      <w:tr w:rsidR="003C045B" w:rsidRPr="00556412" w14:paraId="65C77C64" w14:textId="77777777" w:rsidTr="003C3604">
        <w:trPr>
          <w:trHeight w:val="2085"/>
        </w:trPr>
        <w:tc>
          <w:tcPr>
            <w:tcW w:w="540" w:type="dxa"/>
          </w:tcPr>
          <w:p w14:paraId="6050527A" w14:textId="424C66A8" w:rsidR="003C045B" w:rsidRPr="00556412" w:rsidRDefault="003C045B" w:rsidP="00556412">
            <w:pPr>
              <w:spacing w:line="240" w:lineRule="atLeast"/>
              <w:jc w:val="both"/>
              <w:rPr>
                <w:rFonts w:ascii="Times New Roman" w:eastAsia="Calibri" w:hAnsi="Times New Roman" w:cs="Times New Roman"/>
                <w:sz w:val="18"/>
                <w:szCs w:val="18"/>
                <w:lang w:val="en-US"/>
              </w:rPr>
            </w:pPr>
            <w:r w:rsidRPr="00556412">
              <w:rPr>
                <w:rFonts w:ascii="Times New Roman" w:eastAsia="Calibri" w:hAnsi="Times New Roman" w:cs="Times New Roman"/>
                <w:sz w:val="18"/>
                <w:szCs w:val="18"/>
                <w:lang w:val="en-US"/>
              </w:rPr>
              <w:t>1</w:t>
            </w:r>
          </w:p>
        </w:tc>
        <w:tc>
          <w:tcPr>
            <w:tcW w:w="5400" w:type="dxa"/>
          </w:tcPr>
          <w:p w14:paraId="5EC92BEF" w14:textId="77777777" w:rsidR="00156C96" w:rsidRPr="00556412" w:rsidRDefault="00156C96" w:rsidP="00556412">
            <w:pPr>
              <w:spacing w:before="100" w:beforeAutospacing="1" w:after="100" w:afterAutospacing="1" w:line="240" w:lineRule="atLeast"/>
              <w:jc w:val="both"/>
              <w:outlineLvl w:val="2"/>
              <w:rPr>
                <w:rFonts w:ascii="Times New Roman" w:eastAsia="Times New Roman" w:hAnsi="Times New Roman" w:cs="Times New Roman"/>
                <w:bCs/>
                <w:sz w:val="18"/>
                <w:szCs w:val="18"/>
              </w:rPr>
            </w:pPr>
            <w:r w:rsidRPr="00556412">
              <w:rPr>
                <w:rFonts w:ascii="Times New Roman" w:eastAsia="Times New Roman" w:hAnsi="Times New Roman" w:cs="Times New Roman"/>
                <w:bCs/>
                <w:sz w:val="18"/>
                <w:szCs w:val="18"/>
              </w:rPr>
              <w:t>16. Për qëllimet e pikës 14, “transaksion ndërkufitar” nënkupton një transaksion ose një seri transaksionesh ku:</w:t>
            </w:r>
          </w:p>
          <w:p w14:paraId="3C14905F" w14:textId="77777777" w:rsidR="00156C96" w:rsidRPr="00556412" w:rsidRDefault="00156C96" w:rsidP="00556412">
            <w:pPr>
              <w:spacing w:before="100" w:beforeAutospacing="1" w:after="100" w:afterAutospacing="1" w:line="240" w:lineRule="atLeast"/>
              <w:jc w:val="both"/>
              <w:outlineLvl w:val="2"/>
              <w:rPr>
                <w:rFonts w:ascii="Times New Roman" w:eastAsia="Times New Roman" w:hAnsi="Times New Roman" w:cs="Times New Roman"/>
                <w:bCs/>
                <w:sz w:val="18"/>
                <w:szCs w:val="18"/>
              </w:rPr>
            </w:pPr>
            <w:r w:rsidRPr="00556412">
              <w:rPr>
                <w:rFonts w:ascii="Times New Roman" w:eastAsia="Times New Roman" w:hAnsi="Times New Roman" w:cs="Times New Roman"/>
                <w:b/>
                <w:bCs/>
                <w:sz w:val="18"/>
                <w:szCs w:val="18"/>
              </w:rPr>
              <w:t>(</w:t>
            </w:r>
            <w:r w:rsidRPr="00556412">
              <w:rPr>
                <w:rFonts w:ascii="Times New Roman" w:eastAsia="Times New Roman" w:hAnsi="Times New Roman" w:cs="Times New Roman"/>
                <w:bCs/>
                <w:sz w:val="18"/>
                <w:szCs w:val="18"/>
              </w:rPr>
              <w:t>a)</w:t>
            </w:r>
            <w:r w:rsidRPr="00556412">
              <w:rPr>
                <w:rFonts w:ascii="Times New Roman" w:eastAsia="Times New Roman" w:hAnsi="Times New Roman" w:cs="Times New Roman"/>
                <w:sz w:val="18"/>
                <w:szCs w:val="18"/>
              </w:rPr>
              <w:t xml:space="preserve"> jo të gjitha palët në transaksionin ose serinë e transaksioneve janë rezidentë për qëllime tatimore në shtetin anëtar që lëshon, ndryshon ose rinovon vendimin paraprak ndërkufitar;</w:t>
            </w:r>
          </w:p>
          <w:p w14:paraId="627911DF" w14:textId="3C4B9EB6" w:rsidR="00156C96" w:rsidRPr="00556412" w:rsidRDefault="00156C96" w:rsidP="00556412">
            <w:pPr>
              <w:spacing w:before="100" w:beforeAutospacing="1" w:after="100" w:afterAutospacing="1" w:line="240" w:lineRule="atLeast"/>
              <w:jc w:val="both"/>
              <w:outlineLvl w:val="2"/>
              <w:rPr>
                <w:rFonts w:ascii="Times New Roman" w:eastAsia="Times New Roman" w:hAnsi="Times New Roman" w:cs="Times New Roman"/>
                <w:bCs/>
                <w:sz w:val="18"/>
                <w:szCs w:val="18"/>
              </w:rPr>
            </w:pPr>
            <w:r w:rsidRPr="00556412">
              <w:rPr>
                <w:rFonts w:ascii="Times New Roman" w:eastAsia="Times New Roman" w:hAnsi="Times New Roman" w:cs="Times New Roman"/>
                <w:bCs/>
                <w:sz w:val="18"/>
                <w:szCs w:val="18"/>
              </w:rPr>
              <w:t>(b)</w:t>
            </w:r>
            <w:r w:rsidRPr="00556412">
              <w:rPr>
                <w:rFonts w:ascii="Times New Roman" w:eastAsia="Times New Roman" w:hAnsi="Times New Roman" w:cs="Times New Roman"/>
                <w:sz w:val="18"/>
                <w:szCs w:val="18"/>
              </w:rPr>
              <w:t xml:space="preserve"> ndonjë nga palët në transaksionin ose serinë e transaksioneve është njëkohësisht rezident për qëllime tatimore në më shumë se një juridiksion;</w:t>
            </w:r>
          </w:p>
          <w:p w14:paraId="4A49AAE0" w14:textId="792D85F5" w:rsidR="00156C96" w:rsidRPr="00556412" w:rsidRDefault="00156C96" w:rsidP="00556412">
            <w:pPr>
              <w:spacing w:before="100" w:beforeAutospacing="1" w:after="100" w:afterAutospacing="1" w:line="240" w:lineRule="atLeast"/>
              <w:jc w:val="both"/>
              <w:rPr>
                <w:rFonts w:ascii="Times New Roman" w:eastAsia="Times New Roman" w:hAnsi="Times New Roman" w:cs="Times New Roman"/>
                <w:sz w:val="18"/>
                <w:szCs w:val="18"/>
              </w:rPr>
            </w:pPr>
            <w:r w:rsidRPr="00556412">
              <w:rPr>
                <w:rFonts w:ascii="Times New Roman" w:eastAsia="Times New Roman" w:hAnsi="Times New Roman" w:cs="Times New Roman"/>
                <w:bCs/>
                <w:sz w:val="18"/>
                <w:szCs w:val="18"/>
              </w:rPr>
              <w:lastRenderedPageBreak/>
              <w:t>(c)</w:t>
            </w:r>
            <w:r w:rsidRPr="00556412">
              <w:rPr>
                <w:rFonts w:ascii="Times New Roman" w:eastAsia="Times New Roman" w:hAnsi="Times New Roman" w:cs="Times New Roman"/>
                <w:sz w:val="18"/>
                <w:szCs w:val="18"/>
              </w:rPr>
              <w:t xml:space="preserve"> një nga palët në transaksionin ose serinë e transaksioneve ushtron aktivitet tregtar në një juridiksion tjetër nëpërmjet një selie të përhershme dhe transaksioni ose seria e transaksioneve përbën pjesë ose tërësi të aktivitetit të asaj selie të përhershme.</w:t>
            </w:r>
          </w:p>
          <w:p w14:paraId="072D3250" w14:textId="77777777" w:rsidR="00156C96" w:rsidRPr="00556412" w:rsidRDefault="00156C96" w:rsidP="00556412">
            <w:pPr>
              <w:spacing w:before="100" w:beforeAutospacing="1" w:after="100" w:afterAutospacing="1" w:line="240" w:lineRule="atLeast"/>
              <w:jc w:val="both"/>
              <w:rPr>
                <w:rFonts w:ascii="Times New Roman" w:eastAsia="Times New Roman" w:hAnsi="Times New Roman" w:cs="Times New Roman"/>
                <w:sz w:val="18"/>
                <w:szCs w:val="18"/>
              </w:rPr>
            </w:pPr>
            <w:r w:rsidRPr="00556412">
              <w:rPr>
                <w:rFonts w:ascii="Times New Roman" w:eastAsia="Times New Roman" w:hAnsi="Times New Roman" w:cs="Times New Roman"/>
                <w:sz w:val="18"/>
                <w:szCs w:val="18"/>
              </w:rPr>
              <w:t>Një transaksion ndërkufitar ose seri transaksionesh përfshin gjithashtu edhe marrëveshjet e kryera nga një person në lidhje me aktivitete tregtare në një juridiksion tjetër, të cilat ky person i ushtron nëpërmjet një selie të përhershme; ose</w:t>
            </w:r>
          </w:p>
          <w:p w14:paraId="1AAED5CF" w14:textId="77777777" w:rsidR="00156C96" w:rsidRPr="00556412" w:rsidRDefault="00156C96" w:rsidP="00556412">
            <w:pPr>
              <w:spacing w:line="240" w:lineRule="atLeast"/>
              <w:rPr>
                <w:rFonts w:ascii="Times New Roman" w:eastAsia="Times New Roman" w:hAnsi="Times New Roman" w:cs="Times New Roman"/>
                <w:sz w:val="18"/>
                <w:szCs w:val="18"/>
              </w:rPr>
            </w:pPr>
            <w:r w:rsidRPr="00556412">
              <w:rPr>
                <w:rFonts w:ascii="Times New Roman" w:eastAsia="Times New Roman" w:hAnsi="Times New Roman" w:cs="Times New Roman"/>
                <w:bCs/>
                <w:sz w:val="18"/>
                <w:szCs w:val="18"/>
              </w:rPr>
              <w:t>(d)</w:t>
            </w:r>
            <w:r w:rsidRPr="00556412">
              <w:rPr>
                <w:rFonts w:ascii="Times New Roman" w:eastAsia="Times New Roman" w:hAnsi="Times New Roman" w:cs="Times New Roman"/>
                <w:sz w:val="18"/>
                <w:szCs w:val="18"/>
              </w:rPr>
              <w:t xml:space="preserve"> transaksioni ose seria e transaksioneve ka ndikim ndërkufitar.</w:t>
            </w:r>
          </w:p>
          <w:p w14:paraId="6CF18096" w14:textId="07DEEF89" w:rsidR="00156C96" w:rsidRPr="00556412" w:rsidRDefault="00156C96" w:rsidP="00556412">
            <w:pPr>
              <w:spacing w:line="240" w:lineRule="atLeast"/>
              <w:jc w:val="both"/>
              <w:rPr>
                <w:rFonts w:ascii="Times New Roman" w:eastAsia="Times New Roman" w:hAnsi="Times New Roman" w:cs="Times New Roman"/>
                <w:color w:val="333333"/>
                <w:sz w:val="18"/>
                <w:szCs w:val="18"/>
              </w:rPr>
            </w:pPr>
          </w:p>
          <w:p w14:paraId="0B3BAE27" w14:textId="2A6BF48A" w:rsidR="00266B43" w:rsidRPr="00556412" w:rsidRDefault="00B835D7" w:rsidP="00556412">
            <w:pPr>
              <w:spacing w:line="240" w:lineRule="atLeast"/>
              <w:jc w:val="both"/>
              <w:rPr>
                <w:rFonts w:ascii="Times New Roman" w:eastAsia="Times New Roman" w:hAnsi="Times New Roman" w:cs="Times New Roman"/>
                <w:sz w:val="18"/>
                <w:szCs w:val="18"/>
              </w:rPr>
            </w:pPr>
            <w:r w:rsidRPr="00556412">
              <w:rPr>
                <w:rFonts w:ascii="Times New Roman" w:eastAsia="Times New Roman" w:hAnsi="Times New Roman" w:cs="Times New Roman"/>
                <w:sz w:val="18"/>
                <w:szCs w:val="18"/>
              </w:rPr>
              <w:t>Për qëllimet e pikës 15, “transaksion ndërkufitar” nënkupton një transaksion ose një seri transaksionesh që përfshin ndërmarrje të lidhura të cilat nuk janë të gjitha rezidente për qëllime tatimore në territorin e një juridiksioni të vetëm, ose një transaksion apo seri transaksionesh që ka ndikim ndërkufitar.</w:t>
            </w:r>
          </w:p>
          <w:p w14:paraId="13191D8A" w14:textId="1253F63D" w:rsidR="003C045B" w:rsidRPr="00556412" w:rsidRDefault="003C045B" w:rsidP="00556412">
            <w:pPr>
              <w:shd w:val="clear" w:color="auto" w:fill="FFFFFF"/>
              <w:spacing w:before="120" w:line="240" w:lineRule="atLeast"/>
              <w:jc w:val="both"/>
              <w:rPr>
                <w:rFonts w:ascii="Times New Roman" w:eastAsia="Calibri" w:hAnsi="Times New Roman" w:cs="Times New Roman"/>
                <w:iCs/>
                <w:sz w:val="18"/>
                <w:szCs w:val="18"/>
              </w:rPr>
            </w:pPr>
          </w:p>
        </w:tc>
        <w:tc>
          <w:tcPr>
            <w:tcW w:w="540" w:type="dxa"/>
          </w:tcPr>
          <w:p w14:paraId="73A9F1D9" w14:textId="3AAB19BF" w:rsidR="003C045B" w:rsidRPr="00556412" w:rsidRDefault="003C045B" w:rsidP="00556412">
            <w:pPr>
              <w:spacing w:line="240" w:lineRule="atLeast"/>
              <w:jc w:val="center"/>
              <w:rPr>
                <w:rFonts w:ascii="Times New Roman" w:eastAsia="Calibri" w:hAnsi="Times New Roman" w:cs="Times New Roman"/>
                <w:sz w:val="18"/>
                <w:szCs w:val="18"/>
              </w:rPr>
            </w:pPr>
            <w:r w:rsidRPr="00556412">
              <w:rPr>
                <w:rFonts w:ascii="Times New Roman" w:eastAsia="Calibri" w:hAnsi="Times New Roman" w:cs="Times New Roman"/>
                <w:sz w:val="18"/>
                <w:szCs w:val="18"/>
              </w:rPr>
              <w:lastRenderedPageBreak/>
              <w:t>1</w:t>
            </w:r>
          </w:p>
        </w:tc>
        <w:tc>
          <w:tcPr>
            <w:tcW w:w="630" w:type="dxa"/>
          </w:tcPr>
          <w:p w14:paraId="16B43562" w14:textId="6655A83F" w:rsidR="003C045B" w:rsidRPr="00556412" w:rsidRDefault="00156C96" w:rsidP="00556412">
            <w:pPr>
              <w:spacing w:line="240" w:lineRule="atLeast"/>
              <w:jc w:val="center"/>
              <w:rPr>
                <w:rFonts w:ascii="Times New Roman" w:eastAsia="Calibri" w:hAnsi="Times New Roman" w:cs="Times New Roman"/>
                <w:sz w:val="18"/>
                <w:szCs w:val="18"/>
                <w:lang w:val="en-US"/>
              </w:rPr>
            </w:pPr>
            <w:r w:rsidRPr="00556412">
              <w:rPr>
                <w:rFonts w:ascii="Times New Roman" w:eastAsia="Calibri" w:hAnsi="Times New Roman" w:cs="Times New Roman"/>
                <w:sz w:val="18"/>
                <w:szCs w:val="18"/>
                <w:lang w:val="en-US"/>
              </w:rPr>
              <w:t>Neni</w:t>
            </w:r>
            <w:r w:rsidR="00EC4617" w:rsidRPr="00556412">
              <w:rPr>
                <w:rFonts w:ascii="Times New Roman" w:eastAsia="Calibri" w:hAnsi="Times New Roman" w:cs="Times New Roman"/>
                <w:sz w:val="18"/>
                <w:szCs w:val="18"/>
                <w:lang w:val="en-US"/>
              </w:rPr>
              <w:t xml:space="preserve"> 2 </w:t>
            </w:r>
          </w:p>
        </w:tc>
        <w:tc>
          <w:tcPr>
            <w:tcW w:w="4964" w:type="dxa"/>
            <w:tcBorders>
              <w:bottom w:val="dashed" w:sz="4" w:space="0" w:color="auto"/>
            </w:tcBorders>
          </w:tcPr>
          <w:p w14:paraId="15DF809C" w14:textId="77777777" w:rsidR="00D827AD" w:rsidRPr="00556412" w:rsidRDefault="00D827AD" w:rsidP="00556412">
            <w:pPr>
              <w:spacing w:line="240" w:lineRule="atLeast"/>
              <w:jc w:val="center"/>
              <w:rPr>
                <w:rFonts w:ascii="Times New Roman" w:hAnsi="Times New Roman" w:cs="Times New Roman"/>
                <w:b/>
                <w:color w:val="000000" w:themeColor="text1"/>
                <w:sz w:val="18"/>
                <w:szCs w:val="18"/>
                <w:lang w:val="sq-AL"/>
              </w:rPr>
            </w:pPr>
            <w:r w:rsidRPr="00556412">
              <w:rPr>
                <w:rFonts w:ascii="Times New Roman" w:hAnsi="Times New Roman" w:cs="Times New Roman"/>
                <w:b/>
                <w:color w:val="000000" w:themeColor="text1"/>
                <w:sz w:val="18"/>
                <w:szCs w:val="18"/>
                <w:lang w:val="sq-AL"/>
              </w:rPr>
              <w:t>Neni 2</w:t>
            </w:r>
          </w:p>
          <w:p w14:paraId="3A55920D" w14:textId="77777777" w:rsidR="00D827AD" w:rsidRPr="00556412" w:rsidRDefault="00D827AD" w:rsidP="00556412">
            <w:pPr>
              <w:spacing w:line="240" w:lineRule="atLeast"/>
              <w:jc w:val="center"/>
              <w:rPr>
                <w:rFonts w:ascii="Times New Roman" w:hAnsi="Times New Roman" w:cs="Times New Roman"/>
                <w:b/>
                <w:color w:val="000000" w:themeColor="text1"/>
                <w:sz w:val="18"/>
                <w:szCs w:val="18"/>
                <w:lang w:val="sq-AL"/>
              </w:rPr>
            </w:pPr>
          </w:p>
          <w:p w14:paraId="122FE17D" w14:textId="7FD0CB18" w:rsidR="003C045B" w:rsidRPr="00556412" w:rsidRDefault="00D827AD" w:rsidP="00556412">
            <w:pPr>
              <w:spacing w:line="240" w:lineRule="atLeast"/>
              <w:jc w:val="center"/>
              <w:rPr>
                <w:rFonts w:ascii="Times New Roman" w:hAnsi="Times New Roman" w:cs="Times New Roman"/>
                <w:b/>
                <w:color w:val="000000" w:themeColor="text1"/>
                <w:sz w:val="18"/>
                <w:szCs w:val="18"/>
                <w:lang w:val="sq-AL"/>
              </w:rPr>
            </w:pPr>
            <w:r w:rsidRPr="00556412">
              <w:rPr>
                <w:rFonts w:ascii="Times New Roman" w:hAnsi="Times New Roman" w:cs="Times New Roman"/>
                <w:b/>
                <w:color w:val="000000" w:themeColor="text1"/>
                <w:sz w:val="18"/>
                <w:szCs w:val="18"/>
                <w:lang w:val="sq-AL"/>
              </w:rPr>
              <w:t>Përkufizimet</w:t>
            </w:r>
          </w:p>
          <w:p w14:paraId="513E8A20" w14:textId="77777777" w:rsidR="00D827AD" w:rsidRPr="00556412" w:rsidRDefault="00D827AD" w:rsidP="00556412">
            <w:pPr>
              <w:spacing w:line="240" w:lineRule="atLeast"/>
              <w:jc w:val="both"/>
              <w:rPr>
                <w:rFonts w:ascii="Times New Roman" w:hAnsi="Times New Roman" w:cs="Times New Roman"/>
                <w:color w:val="000000" w:themeColor="text1"/>
                <w:sz w:val="18"/>
                <w:szCs w:val="18"/>
                <w:lang w:val="sq-AL"/>
              </w:rPr>
            </w:pPr>
          </w:p>
          <w:p w14:paraId="737F2B04" w14:textId="4B239290" w:rsidR="00D827AD" w:rsidRPr="00556412" w:rsidRDefault="00D827AD" w:rsidP="00556412">
            <w:pPr>
              <w:spacing w:line="240" w:lineRule="atLeast"/>
              <w:jc w:val="both"/>
              <w:rPr>
                <w:rFonts w:ascii="Times New Roman" w:eastAsia="Calibri" w:hAnsi="Times New Roman" w:cs="Times New Roman"/>
                <w:sz w:val="18"/>
                <w:szCs w:val="18"/>
              </w:rPr>
            </w:pPr>
            <w:r w:rsidRPr="00556412">
              <w:rPr>
                <w:rFonts w:ascii="Times New Roman" w:eastAsia="Calibri" w:hAnsi="Times New Roman" w:cs="Times New Roman"/>
                <w:sz w:val="18"/>
                <w:szCs w:val="18"/>
              </w:rPr>
              <w:t>8.</w:t>
            </w:r>
            <w:r w:rsidR="00205E01" w:rsidRPr="00556412">
              <w:rPr>
                <w:rFonts w:ascii="Times New Roman" w:eastAsia="Calibri" w:hAnsi="Times New Roman" w:cs="Times New Roman"/>
                <w:sz w:val="18"/>
                <w:szCs w:val="18"/>
              </w:rPr>
              <w:t xml:space="preserve"> </w:t>
            </w:r>
            <w:r w:rsidRPr="00556412">
              <w:rPr>
                <w:rFonts w:ascii="Times New Roman" w:eastAsia="Calibri" w:hAnsi="Times New Roman" w:cs="Times New Roman"/>
                <w:sz w:val="18"/>
                <w:szCs w:val="18"/>
              </w:rPr>
              <w:t xml:space="preserve">Transaksion ndërkufitar do të thotë: </w:t>
            </w:r>
          </w:p>
          <w:p w14:paraId="70A223AC" w14:textId="69BF55D6" w:rsidR="00D827AD" w:rsidRPr="00556412" w:rsidRDefault="005B0824" w:rsidP="00556412">
            <w:pPr>
              <w:spacing w:line="240" w:lineRule="atLeast"/>
              <w:jc w:val="both"/>
              <w:rPr>
                <w:rFonts w:ascii="Times New Roman" w:eastAsia="Calibri" w:hAnsi="Times New Roman" w:cs="Times New Roman"/>
                <w:sz w:val="18"/>
                <w:szCs w:val="18"/>
              </w:rPr>
            </w:pPr>
            <w:r w:rsidRPr="00556412">
              <w:rPr>
                <w:rFonts w:ascii="Times New Roman" w:eastAsia="Calibri" w:hAnsi="Times New Roman" w:cs="Times New Roman"/>
                <w:sz w:val="18"/>
                <w:szCs w:val="18"/>
              </w:rPr>
              <w:t xml:space="preserve">1. </w:t>
            </w:r>
            <w:r w:rsidR="00D827AD" w:rsidRPr="00556412">
              <w:rPr>
                <w:rFonts w:ascii="Times New Roman" w:eastAsia="Calibri" w:hAnsi="Times New Roman" w:cs="Times New Roman"/>
                <w:sz w:val="18"/>
                <w:szCs w:val="18"/>
              </w:rPr>
              <w:t>Për qëllimin e termit "Vendim ndërkufitar në avancë" - një transaksion ose seri transaksionesh kur:</w:t>
            </w:r>
          </w:p>
          <w:p w14:paraId="173F7AFE" w14:textId="3F40793A" w:rsidR="00D827AD" w:rsidRPr="00556412" w:rsidRDefault="00D827AD" w:rsidP="00556412">
            <w:pPr>
              <w:spacing w:line="240" w:lineRule="atLeast"/>
              <w:jc w:val="both"/>
              <w:rPr>
                <w:rFonts w:ascii="Times New Roman" w:eastAsia="Calibri" w:hAnsi="Times New Roman" w:cs="Times New Roman"/>
                <w:sz w:val="18"/>
                <w:szCs w:val="18"/>
              </w:rPr>
            </w:pPr>
            <w:r w:rsidRPr="00556412">
              <w:rPr>
                <w:rFonts w:ascii="Times New Roman" w:eastAsia="Calibri" w:hAnsi="Times New Roman" w:cs="Times New Roman"/>
                <w:sz w:val="18"/>
                <w:szCs w:val="18"/>
              </w:rPr>
              <w:t>a)</w:t>
            </w:r>
            <w:r w:rsidR="00205E01" w:rsidRPr="00556412">
              <w:rPr>
                <w:rFonts w:ascii="Times New Roman" w:eastAsia="Calibri" w:hAnsi="Times New Roman" w:cs="Times New Roman"/>
                <w:sz w:val="18"/>
                <w:szCs w:val="18"/>
              </w:rPr>
              <w:t xml:space="preserve"> </w:t>
            </w:r>
            <w:r w:rsidRPr="00556412">
              <w:rPr>
                <w:rFonts w:ascii="Times New Roman" w:eastAsia="Calibri" w:hAnsi="Times New Roman" w:cs="Times New Roman"/>
                <w:sz w:val="18"/>
                <w:szCs w:val="18"/>
              </w:rPr>
              <w:t xml:space="preserve">jo të gjitha palët në transaksion ose serinë e transaksioneve janë rezidente për qëllime tatimore në Republikën e Shqipërisë, ku vendimi paraprak ndërkufitar lëshohet, ndryshohet ose rinovohet;    </w:t>
            </w:r>
          </w:p>
          <w:p w14:paraId="795E1F56" w14:textId="2F4D557D" w:rsidR="00D827AD" w:rsidRPr="00556412" w:rsidRDefault="00D827AD" w:rsidP="00556412">
            <w:pPr>
              <w:spacing w:line="240" w:lineRule="atLeast"/>
              <w:jc w:val="both"/>
              <w:rPr>
                <w:rFonts w:ascii="Times New Roman" w:eastAsia="Calibri" w:hAnsi="Times New Roman" w:cs="Times New Roman"/>
                <w:sz w:val="18"/>
                <w:szCs w:val="18"/>
              </w:rPr>
            </w:pPr>
            <w:r w:rsidRPr="00556412">
              <w:rPr>
                <w:rFonts w:ascii="Times New Roman" w:eastAsia="Calibri" w:hAnsi="Times New Roman" w:cs="Times New Roman"/>
                <w:sz w:val="18"/>
                <w:szCs w:val="18"/>
              </w:rPr>
              <w:lastRenderedPageBreak/>
              <w:t>b)</w:t>
            </w:r>
            <w:r w:rsidR="00205E01" w:rsidRPr="00556412">
              <w:rPr>
                <w:rFonts w:ascii="Times New Roman" w:eastAsia="Calibri" w:hAnsi="Times New Roman" w:cs="Times New Roman"/>
                <w:sz w:val="18"/>
                <w:szCs w:val="18"/>
              </w:rPr>
              <w:t xml:space="preserve"> </w:t>
            </w:r>
            <w:r w:rsidRPr="00556412">
              <w:rPr>
                <w:rFonts w:ascii="Times New Roman" w:eastAsia="Calibri" w:hAnsi="Times New Roman" w:cs="Times New Roman"/>
                <w:sz w:val="18"/>
                <w:szCs w:val="18"/>
              </w:rPr>
              <w:t>secila nga palët në transaksion ose seri transaksionesh është njëkohësisht rezidente për qëllime tatimore në Republikën e Shqipërisë dhe në më shumë se një juridiksion;</w:t>
            </w:r>
          </w:p>
          <w:p w14:paraId="2AE527DF" w14:textId="2777859B" w:rsidR="00D827AD" w:rsidRPr="00556412" w:rsidRDefault="00D827AD" w:rsidP="00556412">
            <w:pPr>
              <w:spacing w:line="240" w:lineRule="atLeast"/>
              <w:jc w:val="both"/>
              <w:rPr>
                <w:rFonts w:ascii="Times New Roman" w:eastAsia="Calibri" w:hAnsi="Times New Roman" w:cs="Times New Roman"/>
                <w:sz w:val="18"/>
                <w:szCs w:val="18"/>
              </w:rPr>
            </w:pPr>
            <w:r w:rsidRPr="00556412">
              <w:rPr>
                <w:rFonts w:ascii="Times New Roman" w:eastAsia="Calibri" w:hAnsi="Times New Roman" w:cs="Times New Roman"/>
                <w:sz w:val="18"/>
                <w:szCs w:val="18"/>
              </w:rPr>
              <w:t>c)</w:t>
            </w:r>
            <w:r w:rsidR="00205E01" w:rsidRPr="00556412">
              <w:rPr>
                <w:rFonts w:ascii="Times New Roman" w:eastAsia="Calibri" w:hAnsi="Times New Roman" w:cs="Times New Roman"/>
                <w:sz w:val="18"/>
                <w:szCs w:val="18"/>
              </w:rPr>
              <w:t xml:space="preserve"> </w:t>
            </w:r>
            <w:r w:rsidRPr="00556412">
              <w:rPr>
                <w:rFonts w:ascii="Times New Roman" w:eastAsia="Calibri" w:hAnsi="Times New Roman" w:cs="Times New Roman"/>
                <w:sz w:val="18"/>
                <w:szCs w:val="18"/>
              </w:rPr>
              <w:t xml:space="preserve">Njëra nga palët e përfshira në transaksionin ose serinë e transaksioneve ushtron veprimtari në një juridiksion tjetër përmes një selie të përhershme dhe transaksioni ose seria e transaksioneve përbëjnë një pjesë ose të gjithë veprimtarinë e selisë së përhershme. Një transaksion ose seri transaksionesh ndërkufitare përfshijnë edhe masat e marra nga një person në lidhje me veprimtaritë ekonomike në një juridiksion tjetër, të cilat i vazhdon përmes një selie të përhershme; ose  </w:t>
            </w:r>
          </w:p>
          <w:p w14:paraId="343752C8" w14:textId="77777777" w:rsidR="00D827AD" w:rsidRPr="00556412" w:rsidRDefault="00D827AD" w:rsidP="00556412">
            <w:pPr>
              <w:spacing w:line="240" w:lineRule="atLeast"/>
              <w:jc w:val="both"/>
              <w:rPr>
                <w:rFonts w:ascii="Times New Roman" w:eastAsia="Calibri" w:hAnsi="Times New Roman" w:cs="Times New Roman"/>
                <w:sz w:val="18"/>
                <w:szCs w:val="18"/>
              </w:rPr>
            </w:pPr>
            <w:r w:rsidRPr="00556412">
              <w:rPr>
                <w:rFonts w:ascii="Times New Roman" w:eastAsia="Calibri" w:hAnsi="Times New Roman" w:cs="Times New Roman"/>
                <w:sz w:val="18"/>
                <w:szCs w:val="18"/>
              </w:rPr>
              <w:t>d)</w:t>
            </w:r>
            <w:r w:rsidRPr="00556412">
              <w:rPr>
                <w:rFonts w:ascii="Times New Roman" w:eastAsia="Calibri" w:hAnsi="Times New Roman" w:cs="Times New Roman"/>
                <w:sz w:val="18"/>
                <w:szCs w:val="18"/>
              </w:rPr>
              <w:tab/>
              <w:t>transaksione të tilla ose seri transaksionesh kanë një ndikim ndërkufitar.</w:t>
            </w:r>
          </w:p>
          <w:p w14:paraId="496F820C" w14:textId="77777777" w:rsidR="00D827AD" w:rsidRPr="00556412" w:rsidRDefault="00D827AD" w:rsidP="00556412">
            <w:pPr>
              <w:spacing w:line="240" w:lineRule="atLeast"/>
              <w:jc w:val="both"/>
              <w:rPr>
                <w:rFonts w:ascii="Times New Roman" w:eastAsia="Calibri" w:hAnsi="Times New Roman" w:cs="Times New Roman"/>
                <w:sz w:val="18"/>
                <w:szCs w:val="18"/>
              </w:rPr>
            </w:pPr>
          </w:p>
          <w:p w14:paraId="05CBA041" w14:textId="655C071F" w:rsidR="003C045B" w:rsidRPr="00556412" w:rsidRDefault="00D827AD" w:rsidP="00556412">
            <w:pPr>
              <w:pStyle w:val="ListParagraph"/>
              <w:numPr>
                <w:ilvl w:val="0"/>
                <w:numId w:val="2"/>
              </w:numPr>
              <w:spacing w:after="0" w:line="240" w:lineRule="atLeast"/>
              <w:jc w:val="both"/>
              <w:rPr>
                <w:rFonts w:ascii="Times New Roman" w:eastAsia="Calibri" w:hAnsi="Times New Roman" w:cs="Times New Roman"/>
                <w:sz w:val="18"/>
                <w:szCs w:val="18"/>
              </w:rPr>
            </w:pPr>
            <w:r w:rsidRPr="00556412">
              <w:rPr>
                <w:rFonts w:ascii="Times New Roman" w:eastAsia="Calibri" w:hAnsi="Times New Roman" w:cs="Times New Roman"/>
                <w:sz w:val="18"/>
                <w:szCs w:val="18"/>
              </w:rPr>
              <w:t>Për qëllimin e termit "Marrëveshje e Çmimit në Avancë (MÇA)" - një transaksion ose seri transaksionesh që përfshijnë ndërmarrje të lidhura që nuk janë të gjitha rezidente për qëllime tatimore në territorin e një juridiksioni të vetëm ose një transaksion ose seri transaksionesh që kanë një ndikim ndërkufitar;</w:t>
            </w:r>
          </w:p>
        </w:tc>
        <w:tc>
          <w:tcPr>
            <w:tcW w:w="976" w:type="dxa"/>
            <w:tcBorders>
              <w:bottom w:val="dashed" w:sz="4" w:space="0" w:color="auto"/>
            </w:tcBorders>
          </w:tcPr>
          <w:p w14:paraId="6FCF9030" w14:textId="7E85D828" w:rsidR="003C045B" w:rsidRPr="00556412" w:rsidRDefault="003C045B" w:rsidP="00556412">
            <w:pPr>
              <w:spacing w:line="240" w:lineRule="atLeast"/>
              <w:jc w:val="center"/>
              <w:rPr>
                <w:rFonts w:ascii="Times New Roman" w:eastAsia="Calibri" w:hAnsi="Times New Roman" w:cs="Times New Roman"/>
                <w:sz w:val="18"/>
                <w:szCs w:val="18"/>
                <w:lang w:val="en-US"/>
              </w:rPr>
            </w:pPr>
            <w:r w:rsidRPr="00556412">
              <w:rPr>
                <w:rFonts w:ascii="Times New Roman" w:eastAsia="Calibri" w:hAnsi="Times New Roman" w:cs="Times New Roman"/>
                <w:sz w:val="18"/>
                <w:szCs w:val="18"/>
                <w:lang w:val="en-US"/>
              </w:rPr>
              <w:lastRenderedPageBreak/>
              <w:t>F</w:t>
            </w:r>
          </w:p>
        </w:tc>
        <w:tc>
          <w:tcPr>
            <w:tcW w:w="3150" w:type="dxa"/>
            <w:tcBorders>
              <w:bottom w:val="dashed" w:sz="4" w:space="0" w:color="auto"/>
            </w:tcBorders>
          </w:tcPr>
          <w:p w14:paraId="08DB7295" w14:textId="67880360" w:rsidR="003C045B" w:rsidRPr="00556412" w:rsidRDefault="003C045B" w:rsidP="00556412">
            <w:pPr>
              <w:spacing w:line="240" w:lineRule="atLeast"/>
              <w:rPr>
                <w:rFonts w:ascii="Times New Roman" w:eastAsia="Calibri" w:hAnsi="Times New Roman" w:cs="Times New Roman"/>
                <w:sz w:val="18"/>
                <w:szCs w:val="18"/>
                <w:lang w:val="en-US"/>
              </w:rPr>
            </w:pPr>
          </w:p>
        </w:tc>
      </w:tr>
      <w:tr w:rsidR="003C045B" w:rsidRPr="00556412" w14:paraId="7D4505B4" w14:textId="77777777" w:rsidTr="003C3604">
        <w:trPr>
          <w:trHeight w:val="645"/>
        </w:trPr>
        <w:tc>
          <w:tcPr>
            <w:tcW w:w="540" w:type="dxa"/>
          </w:tcPr>
          <w:p w14:paraId="1080D9D2" w14:textId="139AC4B4" w:rsidR="003C045B" w:rsidRPr="00556412" w:rsidRDefault="003C045B" w:rsidP="00556412">
            <w:pPr>
              <w:spacing w:line="240" w:lineRule="atLeast"/>
              <w:jc w:val="both"/>
              <w:rPr>
                <w:rFonts w:ascii="Times New Roman" w:eastAsia="Calibri" w:hAnsi="Times New Roman" w:cs="Times New Roman"/>
                <w:sz w:val="18"/>
                <w:szCs w:val="18"/>
                <w:lang w:val="en-US"/>
              </w:rPr>
            </w:pPr>
          </w:p>
        </w:tc>
        <w:tc>
          <w:tcPr>
            <w:tcW w:w="5400" w:type="dxa"/>
          </w:tcPr>
          <w:p w14:paraId="5EB17713" w14:textId="77777777" w:rsidR="00B835D7" w:rsidRPr="00556412" w:rsidRDefault="00B835D7" w:rsidP="00556412">
            <w:pPr>
              <w:spacing w:line="240" w:lineRule="atLeast"/>
              <w:jc w:val="both"/>
              <w:rPr>
                <w:rFonts w:ascii="Times New Roman" w:eastAsia="Times New Roman" w:hAnsi="Times New Roman" w:cs="Times New Roman"/>
                <w:sz w:val="18"/>
                <w:szCs w:val="18"/>
              </w:rPr>
            </w:pPr>
            <w:r w:rsidRPr="00556412">
              <w:rPr>
                <w:rFonts w:ascii="Times New Roman" w:eastAsia="Times New Roman" w:hAnsi="Times New Roman" w:cs="Times New Roman"/>
                <w:sz w:val="18"/>
                <w:szCs w:val="18"/>
              </w:rPr>
              <w:t>17. Për qëllimet e pikës 15 dhe 16, “ndërmarrje” nënkupton çdo formë ushtrimi të një veprimtarie ekonomike.’;</w:t>
            </w:r>
          </w:p>
          <w:p w14:paraId="61E278E6" w14:textId="52455E2D" w:rsidR="00B02FF5" w:rsidRPr="00556412" w:rsidRDefault="00B02FF5" w:rsidP="00556412">
            <w:pPr>
              <w:spacing w:line="240" w:lineRule="atLeast"/>
              <w:rPr>
                <w:rFonts w:ascii="Times New Roman" w:hAnsi="Times New Roman" w:cs="Times New Roman"/>
                <w:vanish/>
                <w:sz w:val="18"/>
                <w:szCs w:val="18"/>
              </w:rPr>
            </w:pPr>
          </w:p>
          <w:p w14:paraId="3A31154C" w14:textId="6A5680DE" w:rsidR="003C045B" w:rsidRPr="00556412" w:rsidRDefault="003C045B" w:rsidP="00556412">
            <w:pPr>
              <w:spacing w:line="240" w:lineRule="atLeast"/>
              <w:jc w:val="both"/>
              <w:rPr>
                <w:rFonts w:ascii="Times New Roman" w:eastAsia="Calibri" w:hAnsi="Times New Roman" w:cs="Times New Roman"/>
                <w:iCs/>
                <w:sz w:val="18"/>
                <w:szCs w:val="18"/>
                <w:lang w:val="en-US"/>
              </w:rPr>
            </w:pPr>
          </w:p>
        </w:tc>
        <w:tc>
          <w:tcPr>
            <w:tcW w:w="540" w:type="dxa"/>
          </w:tcPr>
          <w:p w14:paraId="68273547" w14:textId="0F3E768C" w:rsidR="003C045B" w:rsidRPr="00556412" w:rsidRDefault="003C045B" w:rsidP="00556412">
            <w:pPr>
              <w:spacing w:line="240" w:lineRule="atLeast"/>
              <w:jc w:val="center"/>
              <w:rPr>
                <w:rFonts w:ascii="Times New Roman" w:eastAsia="Calibri" w:hAnsi="Times New Roman" w:cs="Times New Roman"/>
                <w:sz w:val="18"/>
                <w:szCs w:val="18"/>
              </w:rPr>
            </w:pPr>
          </w:p>
        </w:tc>
        <w:tc>
          <w:tcPr>
            <w:tcW w:w="630" w:type="dxa"/>
          </w:tcPr>
          <w:p w14:paraId="217830CF" w14:textId="2652F92A" w:rsidR="003C045B" w:rsidRPr="00556412" w:rsidRDefault="00156C96" w:rsidP="00556412">
            <w:pPr>
              <w:spacing w:line="240" w:lineRule="atLeast"/>
              <w:jc w:val="center"/>
              <w:rPr>
                <w:rFonts w:ascii="Times New Roman" w:eastAsia="Calibri" w:hAnsi="Times New Roman" w:cs="Times New Roman"/>
                <w:sz w:val="18"/>
                <w:szCs w:val="18"/>
                <w:lang w:val="en-US"/>
              </w:rPr>
            </w:pPr>
            <w:r w:rsidRPr="00556412">
              <w:rPr>
                <w:rFonts w:ascii="Times New Roman" w:eastAsia="Calibri" w:hAnsi="Times New Roman" w:cs="Times New Roman"/>
                <w:sz w:val="18"/>
                <w:szCs w:val="18"/>
                <w:lang w:val="en-US"/>
              </w:rPr>
              <w:t>Neni</w:t>
            </w:r>
            <w:r w:rsidR="00EC4617" w:rsidRPr="00556412">
              <w:rPr>
                <w:rFonts w:ascii="Times New Roman" w:eastAsia="Calibri" w:hAnsi="Times New Roman" w:cs="Times New Roman"/>
                <w:sz w:val="18"/>
                <w:szCs w:val="18"/>
                <w:lang w:val="en-US"/>
              </w:rPr>
              <w:t xml:space="preserve"> 2</w:t>
            </w:r>
          </w:p>
        </w:tc>
        <w:tc>
          <w:tcPr>
            <w:tcW w:w="4964" w:type="dxa"/>
            <w:tcBorders>
              <w:bottom w:val="dashed" w:sz="4" w:space="0" w:color="auto"/>
            </w:tcBorders>
          </w:tcPr>
          <w:p w14:paraId="2B8C02BE" w14:textId="245A7346" w:rsidR="00EC4617" w:rsidRPr="00556412" w:rsidRDefault="00EC4617" w:rsidP="00556412">
            <w:pPr>
              <w:spacing w:line="240" w:lineRule="atLeast"/>
              <w:jc w:val="center"/>
              <w:rPr>
                <w:rFonts w:ascii="Times New Roman" w:hAnsi="Times New Roman" w:cs="Times New Roman"/>
                <w:b/>
                <w:sz w:val="18"/>
                <w:szCs w:val="18"/>
              </w:rPr>
            </w:pPr>
            <w:r w:rsidRPr="00556412">
              <w:rPr>
                <w:rFonts w:ascii="Times New Roman" w:hAnsi="Times New Roman" w:cs="Times New Roman"/>
                <w:b/>
                <w:sz w:val="18"/>
                <w:szCs w:val="18"/>
              </w:rPr>
              <w:t>Neni 2</w:t>
            </w:r>
          </w:p>
          <w:p w14:paraId="3551F616" w14:textId="77777777" w:rsidR="00EC4617" w:rsidRPr="00556412" w:rsidRDefault="00EC4617" w:rsidP="00556412">
            <w:pPr>
              <w:spacing w:line="240" w:lineRule="atLeast"/>
              <w:jc w:val="center"/>
              <w:rPr>
                <w:rFonts w:ascii="Times New Roman" w:hAnsi="Times New Roman" w:cs="Times New Roman"/>
                <w:b/>
                <w:sz w:val="18"/>
                <w:szCs w:val="18"/>
              </w:rPr>
            </w:pPr>
            <w:r w:rsidRPr="00556412">
              <w:rPr>
                <w:rFonts w:ascii="Times New Roman" w:hAnsi="Times New Roman" w:cs="Times New Roman"/>
                <w:b/>
                <w:sz w:val="18"/>
                <w:szCs w:val="18"/>
              </w:rPr>
              <w:t>Përkufizimet</w:t>
            </w:r>
          </w:p>
          <w:p w14:paraId="64967AA6" w14:textId="77777777" w:rsidR="00EC4617" w:rsidRPr="00556412" w:rsidRDefault="00EC4617" w:rsidP="00556412">
            <w:pPr>
              <w:spacing w:line="240" w:lineRule="atLeast"/>
              <w:jc w:val="both"/>
              <w:rPr>
                <w:rFonts w:ascii="Times New Roman" w:eastAsia="Calibri" w:hAnsi="Times New Roman" w:cs="Times New Roman"/>
                <w:sz w:val="18"/>
                <w:szCs w:val="18"/>
              </w:rPr>
            </w:pPr>
          </w:p>
          <w:p w14:paraId="1AF536FD" w14:textId="30123D38" w:rsidR="00A25B73" w:rsidRPr="00556412" w:rsidRDefault="009E0C89" w:rsidP="00556412">
            <w:pPr>
              <w:spacing w:line="240" w:lineRule="atLeast"/>
              <w:jc w:val="both"/>
              <w:rPr>
                <w:rFonts w:ascii="Times New Roman" w:eastAsia="Calibri" w:hAnsi="Times New Roman" w:cs="Times New Roman"/>
                <w:sz w:val="18"/>
                <w:szCs w:val="18"/>
              </w:rPr>
            </w:pPr>
            <w:r w:rsidRPr="00556412">
              <w:rPr>
                <w:rFonts w:ascii="Times New Roman" w:eastAsia="Calibri" w:hAnsi="Times New Roman" w:cs="Times New Roman"/>
                <w:sz w:val="18"/>
                <w:szCs w:val="18"/>
              </w:rPr>
              <w:t>7.</w:t>
            </w:r>
            <w:r w:rsidR="000957A0" w:rsidRPr="00556412">
              <w:rPr>
                <w:rFonts w:ascii="Times New Roman" w:eastAsia="Calibri" w:hAnsi="Times New Roman" w:cs="Times New Roman"/>
                <w:sz w:val="18"/>
                <w:szCs w:val="18"/>
              </w:rPr>
              <w:t xml:space="preserve"> </w:t>
            </w:r>
            <w:r w:rsidRPr="00556412">
              <w:rPr>
                <w:rFonts w:ascii="Times New Roman" w:eastAsia="Calibri" w:hAnsi="Times New Roman" w:cs="Times New Roman"/>
                <w:sz w:val="18"/>
                <w:szCs w:val="18"/>
              </w:rPr>
              <w:t>Ndërmarrjet janë ndërmarrje të lidhura ku një ndërmarrje merr pjesë direkt ose indirekt në menaxhimin, kontrollin ose kapitalin e një ndërmarrje tjetër ose personat e njëjtë marrin pjesë drejtpërdrejtë ose tërthorazi në menaxhimin, kontrollin ose kapitalin e ndërmarrjeve.</w:t>
            </w:r>
          </w:p>
        </w:tc>
        <w:tc>
          <w:tcPr>
            <w:tcW w:w="976" w:type="dxa"/>
            <w:tcBorders>
              <w:bottom w:val="dashed" w:sz="4" w:space="0" w:color="auto"/>
            </w:tcBorders>
          </w:tcPr>
          <w:p w14:paraId="4C4B4DD1" w14:textId="54EC29F6" w:rsidR="003C045B" w:rsidRPr="00556412" w:rsidRDefault="003C045B" w:rsidP="00556412">
            <w:pPr>
              <w:spacing w:line="240" w:lineRule="atLeast"/>
              <w:jc w:val="center"/>
              <w:rPr>
                <w:rFonts w:ascii="Times New Roman" w:eastAsia="Calibri" w:hAnsi="Times New Roman" w:cs="Times New Roman"/>
                <w:sz w:val="18"/>
                <w:szCs w:val="18"/>
                <w:lang w:val="en-US"/>
              </w:rPr>
            </w:pPr>
            <w:r w:rsidRPr="00556412">
              <w:rPr>
                <w:rFonts w:ascii="Times New Roman" w:eastAsia="Calibri" w:hAnsi="Times New Roman" w:cs="Times New Roman"/>
                <w:sz w:val="18"/>
                <w:szCs w:val="18"/>
                <w:lang w:val="en-US"/>
              </w:rPr>
              <w:t>F</w:t>
            </w:r>
          </w:p>
        </w:tc>
        <w:tc>
          <w:tcPr>
            <w:tcW w:w="3150" w:type="dxa"/>
            <w:tcBorders>
              <w:bottom w:val="dashed" w:sz="4" w:space="0" w:color="auto"/>
            </w:tcBorders>
          </w:tcPr>
          <w:p w14:paraId="7FF536D2" w14:textId="30131ECC" w:rsidR="003C045B" w:rsidRPr="00556412" w:rsidRDefault="003C045B" w:rsidP="00556412">
            <w:pPr>
              <w:spacing w:line="240" w:lineRule="atLeast"/>
              <w:rPr>
                <w:rFonts w:ascii="Times New Roman" w:eastAsia="Calibri" w:hAnsi="Times New Roman" w:cs="Times New Roman"/>
                <w:sz w:val="18"/>
                <w:szCs w:val="18"/>
                <w:lang w:val="en-US"/>
              </w:rPr>
            </w:pPr>
          </w:p>
        </w:tc>
      </w:tr>
      <w:tr w:rsidR="003C045B" w:rsidRPr="00556412" w14:paraId="176342C5" w14:textId="77777777" w:rsidTr="003C3604">
        <w:tc>
          <w:tcPr>
            <w:tcW w:w="540" w:type="dxa"/>
            <w:shd w:val="clear" w:color="auto" w:fill="D0CECE" w:themeFill="background2" w:themeFillShade="E6"/>
          </w:tcPr>
          <w:p w14:paraId="5BF8CE7D" w14:textId="4193C503" w:rsidR="003C045B" w:rsidRPr="00556412" w:rsidRDefault="003C045B" w:rsidP="00556412">
            <w:pPr>
              <w:spacing w:line="240" w:lineRule="atLeast"/>
              <w:jc w:val="both"/>
              <w:rPr>
                <w:rFonts w:ascii="Times New Roman" w:eastAsia="Calibri" w:hAnsi="Times New Roman" w:cs="Times New Roman"/>
                <w:sz w:val="18"/>
                <w:szCs w:val="18"/>
                <w:lang w:val="en-US"/>
              </w:rPr>
            </w:pPr>
          </w:p>
        </w:tc>
        <w:tc>
          <w:tcPr>
            <w:tcW w:w="5400" w:type="dxa"/>
            <w:shd w:val="clear" w:color="auto" w:fill="D0CECE" w:themeFill="background2" w:themeFillShade="E6"/>
          </w:tcPr>
          <w:p w14:paraId="71BFEC0E" w14:textId="77777777" w:rsidR="00F43298" w:rsidRPr="00556412" w:rsidRDefault="00F43298" w:rsidP="00556412">
            <w:pPr>
              <w:spacing w:before="100" w:beforeAutospacing="1" w:after="100" w:afterAutospacing="1" w:line="240" w:lineRule="atLeast"/>
              <w:jc w:val="center"/>
              <w:outlineLvl w:val="2"/>
              <w:rPr>
                <w:rFonts w:ascii="Times New Roman" w:eastAsia="Times New Roman" w:hAnsi="Times New Roman" w:cs="Times New Roman"/>
                <w:b/>
                <w:bCs/>
                <w:sz w:val="18"/>
                <w:szCs w:val="18"/>
              </w:rPr>
            </w:pPr>
            <w:r w:rsidRPr="00556412">
              <w:rPr>
                <w:rFonts w:ascii="Times New Roman" w:eastAsia="Times New Roman" w:hAnsi="Times New Roman" w:cs="Times New Roman"/>
                <w:b/>
                <w:bCs/>
                <w:sz w:val="18"/>
                <w:szCs w:val="18"/>
              </w:rPr>
              <w:t>Neni 8a</w:t>
            </w:r>
          </w:p>
          <w:p w14:paraId="6ACFDB21" w14:textId="77777777" w:rsidR="00F43298" w:rsidRPr="00556412" w:rsidRDefault="00F43298" w:rsidP="00556412">
            <w:pPr>
              <w:spacing w:before="100" w:beforeAutospacing="1" w:after="100" w:afterAutospacing="1" w:line="240" w:lineRule="atLeast"/>
              <w:jc w:val="center"/>
              <w:rPr>
                <w:rFonts w:ascii="Times New Roman" w:eastAsia="Times New Roman" w:hAnsi="Times New Roman" w:cs="Times New Roman"/>
                <w:sz w:val="18"/>
                <w:szCs w:val="18"/>
              </w:rPr>
            </w:pPr>
            <w:r w:rsidRPr="00556412">
              <w:rPr>
                <w:rFonts w:ascii="Times New Roman" w:eastAsia="Times New Roman" w:hAnsi="Times New Roman" w:cs="Times New Roman"/>
                <w:b/>
                <w:bCs/>
                <w:sz w:val="18"/>
                <w:szCs w:val="18"/>
              </w:rPr>
              <w:lastRenderedPageBreak/>
              <w:t>Fusha e zbatimit dhe kushtet e shkëmbimit automatik të detyrueshëm të informacionit mbi vendimet paraprake ndërkufitare dhe marrëveshjet paraprake për çmimin</w:t>
            </w:r>
          </w:p>
          <w:p w14:paraId="1F9CCE14" w14:textId="77777777" w:rsidR="00B835D7" w:rsidRPr="00556412" w:rsidRDefault="00B835D7" w:rsidP="00556412">
            <w:pPr>
              <w:spacing w:line="240" w:lineRule="atLeast"/>
              <w:rPr>
                <w:rFonts w:ascii="Times New Roman" w:eastAsia="Calibri" w:hAnsi="Times New Roman" w:cs="Times New Roman"/>
                <w:b/>
                <w:iCs/>
                <w:sz w:val="18"/>
                <w:szCs w:val="18"/>
                <w:lang w:val="en-US"/>
              </w:rPr>
            </w:pPr>
          </w:p>
          <w:p w14:paraId="092A4743" w14:textId="77777777" w:rsidR="001C7741" w:rsidRPr="00556412" w:rsidRDefault="001C7741" w:rsidP="00556412">
            <w:pPr>
              <w:spacing w:line="240" w:lineRule="atLeast"/>
              <w:jc w:val="center"/>
              <w:rPr>
                <w:rFonts w:ascii="Times New Roman" w:eastAsia="Calibri" w:hAnsi="Times New Roman" w:cs="Times New Roman"/>
                <w:b/>
                <w:iCs/>
                <w:sz w:val="18"/>
                <w:szCs w:val="18"/>
                <w:lang w:val="en-US"/>
              </w:rPr>
            </w:pPr>
          </w:p>
          <w:p w14:paraId="7316743D" w14:textId="4E60965A" w:rsidR="003C045B" w:rsidRPr="00556412" w:rsidRDefault="003C045B" w:rsidP="00556412">
            <w:pPr>
              <w:spacing w:line="240" w:lineRule="atLeast"/>
              <w:jc w:val="center"/>
              <w:rPr>
                <w:rFonts w:ascii="Times New Roman" w:eastAsia="Calibri" w:hAnsi="Times New Roman" w:cs="Times New Roman"/>
                <w:iCs/>
                <w:sz w:val="18"/>
                <w:szCs w:val="18"/>
                <w:lang w:val="en-US"/>
              </w:rPr>
            </w:pPr>
          </w:p>
        </w:tc>
        <w:tc>
          <w:tcPr>
            <w:tcW w:w="540" w:type="dxa"/>
            <w:shd w:val="clear" w:color="auto" w:fill="D0CECE" w:themeFill="background2" w:themeFillShade="E6"/>
          </w:tcPr>
          <w:p w14:paraId="3480EEE0" w14:textId="1312C375" w:rsidR="003C045B" w:rsidRPr="00556412" w:rsidRDefault="003C045B" w:rsidP="00556412">
            <w:pPr>
              <w:spacing w:line="240" w:lineRule="atLeast"/>
              <w:jc w:val="center"/>
              <w:rPr>
                <w:rFonts w:ascii="Times New Roman" w:eastAsia="Calibri" w:hAnsi="Times New Roman" w:cs="Times New Roman"/>
                <w:i/>
                <w:iCs/>
                <w:sz w:val="18"/>
                <w:szCs w:val="18"/>
              </w:rPr>
            </w:pPr>
          </w:p>
        </w:tc>
        <w:tc>
          <w:tcPr>
            <w:tcW w:w="630" w:type="dxa"/>
            <w:shd w:val="clear" w:color="auto" w:fill="D0CECE" w:themeFill="background2" w:themeFillShade="E6"/>
          </w:tcPr>
          <w:p w14:paraId="355EA527" w14:textId="41C73A42" w:rsidR="003C045B" w:rsidRPr="00556412" w:rsidRDefault="003C045B" w:rsidP="00556412">
            <w:pPr>
              <w:spacing w:line="240" w:lineRule="atLeast"/>
              <w:jc w:val="center"/>
              <w:rPr>
                <w:rFonts w:ascii="Times New Roman" w:eastAsia="Calibri" w:hAnsi="Times New Roman" w:cs="Times New Roman"/>
                <w:i/>
                <w:iCs/>
                <w:sz w:val="18"/>
                <w:szCs w:val="18"/>
                <w:lang w:val="en-US"/>
              </w:rPr>
            </w:pPr>
          </w:p>
        </w:tc>
        <w:tc>
          <w:tcPr>
            <w:tcW w:w="4964" w:type="dxa"/>
            <w:shd w:val="clear" w:color="auto" w:fill="D0CECE" w:themeFill="background2" w:themeFillShade="E6"/>
          </w:tcPr>
          <w:p w14:paraId="0AF2ABED" w14:textId="031C9D9F" w:rsidR="003C045B" w:rsidRPr="00556412" w:rsidRDefault="003C045B" w:rsidP="00556412">
            <w:pPr>
              <w:spacing w:line="240" w:lineRule="atLeast"/>
              <w:rPr>
                <w:rFonts w:ascii="Times New Roman" w:hAnsi="Times New Roman" w:cs="Times New Roman"/>
                <w:i/>
                <w:iCs/>
                <w:sz w:val="18"/>
                <w:szCs w:val="18"/>
              </w:rPr>
            </w:pPr>
          </w:p>
        </w:tc>
        <w:tc>
          <w:tcPr>
            <w:tcW w:w="976" w:type="dxa"/>
            <w:shd w:val="clear" w:color="auto" w:fill="D0CECE" w:themeFill="background2" w:themeFillShade="E6"/>
          </w:tcPr>
          <w:p w14:paraId="1ABA6603" w14:textId="3378F120" w:rsidR="003C045B" w:rsidRPr="00556412" w:rsidRDefault="003C045B" w:rsidP="00556412">
            <w:pPr>
              <w:spacing w:line="240" w:lineRule="atLeast"/>
              <w:jc w:val="center"/>
              <w:rPr>
                <w:rFonts w:ascii="Times New Roman" w:eastAsia="Calibri" w:hAnsi="Times New Roman" w:cs="Times New Roman"/>
                <w:i/>
                <w:iCs/>
                <w:sz w:val="18"/>
                <w:szCs w:val="18"/>
                <w:lang w:val="en-US"/>
              </w:rPr>
            </w:pPr>
          </w:p>
        </w:tc>
        <w:tc>
          <w:tcPr>
            <w:tcW w:w="3150" w:type="dxa"/>
            <w:shd w:val="clear" w:color="auto" w:fill="D0CECE" w:themeFill="background2" w:themeFillShade="E6"/>
          </w:tcPr>
          <w:p w14:paraId="7BE83C6E" w14:textId="07D4A64D" w:rsidR="003C045B" w:rsidRPr="00556412" w:rsidRDefault="003C045B" w:rsidP="00556412">
            <w:pPr>
              <w:spacing w:line="240" w:lineRule="atLeast"/>
              <w:rPr>
                <w:rFonts w:ascii="Times New Roman" w:eastAsia="Calibri" w:hAnsi="Times New Roman" w:cs="Times New Roman"/>
                <w:i/>
                <w:iCs/>
                <w:sz w:val="18"/>
                <w:szCs w:val="18"/>
                <w:lang w:val="en-US"/>
              </w:rPr>
            </w:pPr>
          </w:p>
        </w:tc>
      </w:tr>
      <w:tr w:rsidR="003C045B" w:rsidRPr="00556412" w14:paraId="05E7A252" w14:textId="77777777" w:rsidTr="003C3604">
        <w:trPr>
          <w:trHeight w:val="870"/>
        </w:trPr>
        <w:tc>
          <w:tcPr>
            <w:tcW w:w="540" w:type="dxa"/>
          </w:tcPr>
          <w:p w14:paraId="56054E51" w14:textId="1549FBFD" w:rsidR="003C045B" w:rsidRPr="00556412" w:rsidRDefault="003C045B" w:rsidP="00556412">
            <w:pPr>
              <w:spacing w:line="240" w:lineRule="atLeast"/>
              <w:jc w:val="both"/>
              <w:rPr>
                <w:rFonts w:ascii="Times New Roman" w:eastAsia="Calibri" w:hAnsi="Times New Roman" w:cs="Times New Roman"/>
                <w:sz w:val="18"/>
                <w:szCs w:val="18"/>
                <w:lang w:val="en-US"/>
              </w:rPr>
            </w:pPr>
          </w:p>
        </w:tc>
        <w:tc>
          <w:tcPr>
            <w:tcW w:w="5400" w:type="dxa"/>
          </w:tcPr>
          <w:p w14:paraId="59DB5BB9" w14:textId="77777777" w:rsidR="00F43298" w:rsidRPr="00556412" w:rsidRDefault="00591577" w:rsidP="00556412">
            <w:pPr>
              <w:spacing w:line="240" w:lineRule="atLeast"/>
              <w:jc w:val="both"/>
              <w:rPr>
                <w:rFonts w:ascii="Times New Roman" w:eastAsia="Times New Roman" w:hAnsi="Times New Roman" w:cs="Times New Roman"/>
                <w:sz w:val="18"/>
                <w:szCs w:val="18"/>
              </w:rPr>
            </w:pPr>
            <w:r w:rsidRPr="00556412">
              <w:rPr>
                <w:rFonts w:ascii="Times New Roman" w:eastAsia="Calibri" w:hAnsi="Times New Roman" w:cs="Times New Roman"/>
                <w:iCs/>
                <w:sz w:val="18"/>
                <w:szCs w:val="18"/>
                <w:lang w:val="en-US"/>
              </w:rPr>
              <w:t xml:space="preserve">1.   </w:t>
            </w:r>
            <w:r w:rsidR="00F43298" w:rsidRPr="00556412">
              <w:rPr>
                <w:rFonts w:ascii="Times New Roman" w:eastAsia="Times New Roman" w:hAnsi="Times New Roman" w:cs="Times New Roman"/>
                <w:sz w:val="18"/>
                <w:szCs w:val="18"/>
              </w:rPr>
              <w:t>Autoriteti kompetent i një shteti anëtar, kur një vendim paraprak ndërkufitar ose një marrëveshje paraprake për çmimin është lëshuar, ndryshuar ose rinovuar pas datës 31 dhjetor 2016, duhet, nëpërmjet shkëmbimit automatik, të komunikojë informacionin përkatës autoriteteve kompetente të të gjitha shteteve të tjera anëtare, si dhe Komisionit Evropian, me kufizimin e rasteve të përcaktuara në paragrafin 8 të këtij neni, në përputhje me rregullimet praktike të zbatueshme të miratuara në përputhje me nenin 21.</w:t>
            </w:r>
          </w:p>
          <w:p w14:paraId="249A4F98" w14:textId="4611BB64" w:rsidR="003C045B" w:rsidRPr="00556412" w:rsidRDefault="003C045B" w:rsidP="00556412">
            <w:pPr>
              <w:spacing w:line="240" w:lineRule="atLeast"/>
              <w:jc w:val="both"/>
              <w:rPr>
                <w:rFonts w:ascii="Times New Roman" w:eastAsia="Calibri" w:hAnsi="Times New Roman" w:cs="Times New Roman"/>
                <w:iCs/>
                <w:sz w:val="18"/>
                <w:szCs w:val="18"/>
                <w:lang w:val="en-US"/>
              </w:rPr>
            </w:pPr>
          </w:p>
        </w:tc>
        <w:tc>
          <w:tcPr>
            <w:tcW w:w="540" w:type="dxa"/>
          </w:tcPr>
          <w:p w14:paraId="59B66D4C" w14:textId="00B84A40" w:rsidR="003C045B" w:rsidRPr="00556412" w:rsidRDefault="003C045B" w:rsidP="00556412">
            <w:pPr>
              <w:spacing w:line="240" w:lineRule="atLeast"/>
              <w:jc w:val="center"/>
              <w:rPr>
                <w:rFonts w:ascii="Times New Roman" w:eastAsia="Calibri" w:hAnsi="Times New Roman" w:cs="Times New Roman"/>
                <w:sz w:val="18"/>
                <w:szCs w:val="18"/>
              </w:rPr>
            </w:pPr>
          </w:p>
        </w:tc>
        <w:tc>
          <w:tcPr>
            <w:tcW w:w="630" w:type="dxa"/>
          </w:tcPr>
          <w:p w14:paraId="5ABADC9F" w14:textId="220020E4" w:rsidR="003C045B" w:rsidRPr="00556412" w:rsidRDefault="00F43298" w:rsidP="00556412">
            <w:pPr>
              <w:spacing w:line="240" w:lineRule="atLeast"/>
              <w:jc w:val="center"/>
              <w:rPr>
                <w:rFonts w:ascii="Times New Roman" w:eastAsia="Calibri" w:hAnsi="Times New Roman" w:cs="Times New Roman"/>
                <w:sz w:val="18"/>
                <w:szCs w:val="18"/>
                <w:lang w:val="en-US"/>
              </w:rPr>
            </w:pPr>
            <w:r w:rsidRPr="00556412">
              <w:rPr>
                <w:rFonts w:ascii="Times New Roman" w:eastAsia="Calibri" w:hAnsi="Times New Roman" w:cs="Times New Roman"/>
                <w:sz w:val="18"/>
                <w:szCs w:val="18"/>
                <w:lang w:val="en-US"/>
              </w:rPr>
              <w:t>Neni</w:t>
            </w:r>
            <w:r w:rsidR="00EC4617" w:rsidRPr="00556412">
              <w:rPr>
                <w:rFonts w:ascii="Times New Roman" w:eastAsia="Calibri" w:hAnsi="Times New Roman" w:cs="Times New Roman"/>
                <w:sz w:val="18"/>
                <w:szCs w:val="18"/>
                <w:lang w:val="en-US"/>
              </w:rPr>
              <w:t xml:space="preserve"> 1 </w:t>
            </w:r>
            <w:r w:rsidRPr="00556412">
              <w:rPr>
                <w:rFonts w:ascii="Times New Roman" w:eastAsia="Calibri" w:hAnsi="Times New Roman" w:cs="Times New Roman"/>
                <w:sz w:val="18"/>
                <w:szCs w:val="18"/>
                <w:lang w:val="en-US"/>
              </w:rPr>
              <w:t>dhe</w:t>
            </w:r>
            <w:r w:rsidR="00EC4617" w:rsidRPr="00556412">
              <w:rPr>
                <w:rFonts w:ascii="Times New Roman" w:eastAsia="Calibri" w:hAnsi="Times New Roman" w:cs="Times New Roman"/>
                <w:sz w:val="18"/>
                <w:szCs w:val="18"/>
                <w:lang w:val="en-US"/>
              </w:rPr>
              <w:t xml:space="preserve"> 6 </w:t>
            </w:r>
          </w:p>
        </w:tc>
        <w:tc>
          <w:tcPr>
            <w:tcW w:w="4964" w:type="dxa"/>
            <w:tcBorders>
              <w:bottom w:val="dashed" w:sz="4" w:space="0" w:color="auto"/>
            </w:tcBorders>
          </w:tcPr>
          <w:p w14:paraId="23A5013C" w14:textId="77777777" w:rsidR="00A9181F" w:rsidRPr="00556412" w:rsidRDefault="003C045B" w:rsidP="00556412">
            <w:pPr>
              <w:spacing w:line="240" w:lineRule="atLeast"/>
              <w:jc w:val="center"/>
              <w:rPr>
                <w:rFonts w:ascii="Times New Roman" w:hAnsi="Times New Roman" w:cs="Times New Roman"/>
                <w:b/>
                <w:sz w:val="18"/>
                <w:szCs w:val="18"/>
              </w:rPr>
            </w:pPr>
            <w:r w:rsidRPr="00556412">
              <w:rPr>
                <w:rFonts w:ascii="Times New Roman" w:hAnsi="Times New Roman" w:cs="Times New Roman"/>
                <w:sz w:val="18"/>
                <w:szCs w:val="18"/>
              </w:rPr>
              <w:br/>
            </w:r>
            <w:r w:rsidR="00A9181F" w:rsidRPr="00556412">
              <w:rPr>
                <w:rFonts w:ascii="Times New Roman" w:hAnsi="Times New Roman" w:cs="Times New Roman"/>
                <w:b/>
                <w:sz w:val="18"/>
                <w:szCs w:val="18"/>
              </w:rPr>
              <w:t xml:space="preserve">Neni 1 </w:t>
            </w:r>
          </w:p>
          <w:p w14:paraId="0C2D3218" w14:textId="77777777" w:rsidR="00A9181F" w:rsidRPr="00556412" w:rsidRDefault="00A9181F" w:rsidP="00556412">
            <w:pPr>
              <w:spacing w:line="240" w:lineRule="atLeast"/>
              <w:jc w:val="center"/>
              <w:rPr>
                <w:rFonts w:ascii="Times New Roman" w:hAnsi="Times New Roman" w:cs="Times New Roman"/>
                <w:b/>
                <w:sz w:val="18"/>
                <w:szCs w:val="18"/>
              </w:rPr>
            </w:pPr>
            <w:r w:rsidRPr="00556412">
              <w:rPr>
                <w:rFonts w:ascii="Times New Roman" w:hAnsi="Times New Roman" w:cs="Times New Roman"/>
                <w:b/>
                <w:sz w:val="18"/>
                <w:szCs w:val="18"/>
              </w:rPr>
              <w:t>Qëllimi dhe fusha e zbatimit</w:t>
            </w:r>
          </w:p>
          <w:p w14:paraId="0DED423B" w14:textId="77777777" w:rsidR="00A9181F" w:rsidRPr="00556412" w:rsidRDefault="00A9181F" w:rsidP="00556412">
            <w:pPr>
              <w:spacing w:line="240" w:lineRule="atLeast"/>
              <w:jc w:val="both"/>
              <w:rPr>
                <w:rFonts w:ascii="Times New Roman" w:hAnsi="Times New Roman" w:cs="Times New Roman"/>
                <w:sz w:val="18"/>
                <w:szCs w:val="18"/>
              </w:rPr>
            </w:pPr>
          </w:p>
          <w:p w14:paraId="45566190" w14:textId="4C64F776" w:rsidR="00EC4617" w:rsidRPr="00556412" w:rsidRDefault="001F55AE" w:rsidP="00556412">
            <w:pPr>
              <w:spacing w:line="240" w:lineRule="atLeast"/>
              <w:jc w:val="both"/>
              <w:rPr>
                <w:rFonts w:ascii="Times New Roman" w:hAnsi="Times New Roman" w:cs="Times New Roman"/>
                <w:sz w:val="18"/>
                <w:szCs w:val="18"/>
              </w:rPr>
            </w:pPr>
            <w:r w:rsidRPr="00556412">
              <w:rPr>
                <w:rFonts w:ascii="Times New Roman" w:hAnsi="Times New Roman" w:cs="Times New Roman"/>
                <w:sz w:val="18"/>
                <w:szCs w:val="18"/>
                <w:lang w:val="sq-AL"/>
              </w:rPr>
              <w:t>Ky ligj përcakton rregullat, procedurat, për shkëmbimin automatik dhe të detyrueshëm të informacionit mbi vendimet tatimore ndërkufitare në avancë dhe Marrëveshjet e Çmimit në Avancë (MÇA), ndërmjet Autoritetit Kompetent të Republikës së Shqipërisë dhe autoriteteve kompetente të shteteve anëtare të Bashkimit Europian, në masën e parashikuar nga marrëveshjet ndërkombëtare në fuqi dhe në përputhje me parimin e proporcionalitetit dhe mbrojtjes së të dhënave personale. Dispozitat e këtij ligji nuk cenojnë  zbatimin e legjislacionit në fuqi për asistencën juridike reciproke në çështjet penale dhe nuk kufizojnë detyrimet ndërkombëtare të Republikës së Shqipërisë në fushën e bashkëpunimit administrativ, që rrjedhin nga marrëveshjet dypalëshe shumëpalëshe,  ose instrumente të tjera juridike ndërkombëtare të ratifikuara.</w:t>
            </w:r>
          </w:p>
          <w:p w14:paraId="67AC4B09" w14:textId="77777777" w:rsidR="00EC4617" w:rsidRPr="00556412" w:rsidRDefault="00EC4617" w:rsidP="00556412">
            <w:pPr>
              <w:spacing w:line="240" w:lineRule="atLeast"/>
              <w:jc w:val="both"/>
              <w:rPr>
                <w:rFonts w:ascii="Times New Roman" w:hAnsi="Times New Roman" w:cs="Times New Roman"/>
                <w:sz w:val="18"/>
                <w:szCs w:val="18"/>
              </w:rPr>
            </w:pPr>
          </w:p>
          <w:p w14:paraId="1DA07161" w14:textId="77777777" w:rsidR="00EC4617" w:rsidRPr="00556412" w:rsidRDefault="00EC4617" w:rsidP="00556412">
            <w:pPr>
              <w:spacing w:line="240" w:lineRule="atLeast"/>
              <w:jc w:val="center"/>
              <w:rPr>
                <w:rFonts w:ascii="Times New Roman" w:hAnsi="Times New Roman" w:cs="Times New Roman"/>
                <w:b/>
                <w:sz w:val="18"/>
                <w:szCs w:val="18"/>
              </w:rPr>
            </w:pPr>
            <w:r w:rsidRPr="00556412">
              <w:rPr>
                <w:rFonts w:ascii="Times New Roman" w:hAnsi="Times New Roman" w:cs="Times New Roman"/>
                <w:b/>
                <w:sz w:val="18"/>
                <w:szCs w:val="18"/>
              </w:rPr>
              <w:t>Neni 6</w:t>
            </w:r>
          </w:p>
          <w:p w14:paraId="2F2A5ED8" w14:textId="77777777" w:rsidR="00EC4617" w:rsidRPr="00556412" w:rsidRDefault="00EC4617" w:rsidP="00556412">
            <w:pPr>
              <w:spacing w:line="240" w:lineRule="atLeast"/>
              <w:jc w:val="center"/>
              <w:rPr>
                <w:rFonts w:ascii="Times New Roman" w:hAnsi="Times New Roman" w:cs="Times New Roman"/>
                <w:b/>
                <w:sz w:val="18"/>
                <w:szCs w:val="18"/>
              </w:rPr>
            </w:pPr>
            <w:r w:rsidRPr="00556412">
              <w:rPr>
                <w:rFonts w:ascii="Times New Roman" w:hAnsi="Times New Roman" w:cs="Times New Roman"/>
                <w:b/>
                <w:sz w:val="18"/>
                <w:szCs w:val="18"/>
              </w:rPr>
              <w:t>Marrësit e shkëmbimit; Identifikimi i shteteve anëtare të interesuara dhe personave të prekur</w:t>
            </w:r>
          </w:p>
          <w:p w14:paraId="23DFB425" w14:textId="4B38B220" w:rsidR="00CA4289" w:rsidRPr="00556412" w:rsidRDefault="00EC4617" w:rsidP="00556412">
            <w:pPr>
              <w:spacing w:after="120" w:line="240" w:lineRule="atLeast"/>
              <w:jc w:val="both"/>
              <w:rPr>
                <w:rFonts w:ascii="Times New Roman" w:hAnsi="Times New Roman" w:cs="Times New Roman"/>
                <w:sz w:val="18"/>
                <w:szCs w:val="18"/>
                <w:lang w:val="sq-AL"/>
              </w:rPr>
            </w:pPr>
            <w:r w:rsidRPr="00556412">
              <w:rPr>
                <w:rFonts w:ascii="Times New Roman" w:hAnsi="Times New Roman" w:cs="Times New Roman"/>
                <w:sz w:val="18"/>
                <w:szCs w:val="18"/>
              </w:rPr>
              <w:t>1.</w:t>
            </w:r>
            <w:r w:rsidR="000957A0" w:rsidRPr="00556412">
              <w:rPr>
                <w:rFonts w:ascii="Times New Roman" w:hAnsi="Times New Roman" w:cs="Times New Roman"/>
                <w:sz w:val="18"/>
                <w:szCs w:val="18"/>
              </w:rPr>
              <w:t xml:space="preserve"> </w:t>
            </w:r>
            <w:r w:rsidRPr="00556412">
              <w:rPr>
                <w:rFonts w:ascii="Times New Roman" w:hAnsi="Times New Roman" w:cs="Times New Roman"/>
                <w:sz w:val="18"/>
                <w:szCs w:val="18"/>
              </w:rPr>
              <w:t xml:space="preserve">Drejtoria e Përgjithshme e Tatimeve </w:t>
            </w:r>
            <w:r w:rsidR="00CA4289" w:rsidRPr="00556412">
              <w:rPr>
                <w:rFonts w:ascii="Times New Roman" w:hAnsi="Times New Roman" w:cs="Times New Roman"/>
                <w:sz w:val="18"/>
                <w:szCs w:val="18"/>
                <w:lang w:val="sq-AL"/>
              </w:rPr>
              <w:t>i dërgon informacionet përkatëse autoriteteve tatimore të të gjitha shteteve të tjera anëtare dhe i regjistron ato në një regjistër qendror</w:t>
            </w:r>
            <w:r w:rsidR="00CA4289" w:rsidRPr="00556412" w:rsidDel="00CA4289">
              <w:rPr>
                <w:rFonts w:ascii="Times New Roman" w:hAnsi="Times New Roman" w:cs="Times New Roman"/>
                <w:sz w:val="18"/>
                <w:szCs w:val="18"/>
              </w:rPr>
              <w:t xml:space="preserve"> </w:t>
            </w:r>
            <w:r w:rsidR="00CA4289" w:rsidRPr="00556412">
              <w:rPr>
                <w:rFonts w:ascii="Times New Roman" w:hAnsi="Times New Roman" w:cs="Times New Roman"/>
                <w:kern w:val="2"/>
                <w:sz w:val="18"/>
                <w:szCs w:val="18"/>
                <w:lang w:val="sq-AL"/>
                <w14:ligatures w14:val="standardContextual"/>
              </w:rPr>
              <w:t xml:space="preserve">2.Drejtoria e Përgjitshme e Tatimeve shënon  në një formular  standard, se cilat </w:t>
            </w:r>
            <w:r w:rsidR="00CA4289" w:rsidRPr="00556412">
              <w:rPr>
                <w:rFonts w:ascii="Times New Roman" w:hAnsi="Times New Roman" w:cs="Times New Roman"/>
                <w:kern w:val="2"/>
                <w:sz w:val="18"/>
                <w:szCs w:val="18"/>
                <w:lang w:val="sq-AL"/>
                <w14:ligatures w14:val="standardContextual"/>
              </w:rPr>
              <w:lastRenderedPageBreak/>
              <w:t>shtete të tjera anëtare mund të preken nga vendimi ose nga marrëveshja e çmimit në avancë.</w:t>
            </w:r>
          </w:p>
          <w:p w14:paraId="228E2DBA" w14:textId="46204FCB" w:rsidR="00EC4617" w:rsidRPr="00556412" w:rsidRDefault="00EC4617" w:rsidP="00556412">
            <w:pPr>
              <w:spacing w:line="240" w:lineRule="atLeast"/>
              <w:jc w:val="both"/>
              <w:rPr>
                <w:rFonts w:ascii="Times New Roman" w:hAnsi="Times New Roman" w:cs="Times New Roman"/>
                <w:sz w:val="18"/>
                <w:szCs w:val="18"/>
              </w:rPr>
            </w:pPr>
            <w:r w:rsidRPr="00556412">
              <w:rPr>
                <w:rFonts w:ascii="Times New Roman" w:hAnsi="Times New Roman" w:cs="Times New Roman"/>
                <w:sz w:val="18"/>
                <w:szCs w:val="18"/>
              </w:rPr>
              <w:t>.</w:t>
            </w:r>
          </w:p>
          <w:p w14:paraId="26B6FB98" w14:textId="5F3DA14E" w:rsidR="00EC4617" w:rsidRPr="00556412" w:rsidRDefault="00EC4617" w:rsidP="00556412">
            <w:pPr>
              <w:spacing w:line="240" w:lineRule="atLeast"/>
              <w:jc w:val="both"/>
              <w:rPr>
                <w:rFonts w:ascii="Times New Roman" w:hAnsi="Times New Roman" w:cs="Times New Roman"/>
                <w:sz w:val="18"/>
                <w:szCs w:val="18"/>
              </w:rPr>
            </w:pPr>
            <w:r w:rsidRPr="00556412">
              <w:rPr>
                <w:rFonts w:ascii="Times New Roman" w:hAnsi="Times New Roman" w:cs="Times New Roman"/>
                <w:sz w:val="18"/>
                <w:szCs w:val="18"/>
              </w:rPr>
              <w:t>3.</w:t>
            </w:r>
            <w:r w:rsidR="000957A0" w:rsidRPr="00556412">
              <w:rPr>
                <w:rFonts w:ascii="Times New Roman" w:hAnsi="Times New Roman" w:cs="Times New Roman"/>
                <w:sz w:val="18"/>
                <w:szCs w:val="18"/>
              </w:rPr>
              <w:t xml:space="preserve"> </w:t>
            </w:r>
            <w:r w:rsidRPr="00556412">
              <w:rPr>
                <w:rFonts w:ascii="Times New Roman" w:hAnsi="Times New Roman" w:cs="Times New Roman"/>
                <w:sz w:val="18"/>
                <w:szCs w:val="18"/>
              </w:rPr>
              <w:t>Drejtoria e Përgjithshme identifikon në formularin standard, çdo person me përjashtim të personave fizikë, në shtetet e tjera anëtare, nëse ka, që mund të preken nga vendimi paraprak ndërkufitar ose nga marrëveshja e çmimit në avancë (që tregon se me cilin shtetet anëtar janë të lidhur personat e prekur)</w:t>
            </w:r>
          </w:p>
          <w:p w14:paraId="4DAEA1FE" w14:textId="207785E1" w:rsidR="003C045B" w:rsidRPr="00556412" w:rsidRDefault="003C045B" w:rsidP="00556412">
            <w:pPr>
              <w:spacing w:line="240" w:lineRule="atLeast"/>
              <w:jc w:val="center"/>
              <w:rPr>
                <w:rFonts w:ascii="Times New Roman" w:eastAsia="Calibri" w:hAnsi="Times New Roman" w:cs="Times New Roman"/>
                <w:sz w:val="18"/>
                <w:szCs w:val="18"/>
              </w:rPr>
            </w:pPr>
          </w:p>
        </w:tc>
        <w:tc>
          <w:tcPr>
            <w:tcW w:w="976" w:type="dxa"/>
            <w:tcBorders>
              <w:bottom w:val="dashed" w:sz="4" w:space="0" w:color="auto"/>
            </w:tcBorders>
          </w:tcPr>
          <w:p w14:paraId="3F896C22" w14:textId="12603477" w:rsidR="003C045B" w:rsidRPr="00556412" w:rsidRDefault="00EC4617" w:rsidP="00556412">
            <w:pPr>
              <w:spacing w:line="240" w:lineRule="atLeast"/>
              <w:jc w:val="center"/>
              <w:rPr>
                <w:rFonts w:ascii="Times New Roman" w:eastAsia="Calibri" w:hAnsi="Times New Roman" w:cs="Times New Roman"/>
                <w:sz w:val="18"/>
                <w:szCs w:val="18"/>
                <w:lang w:val="en-US"/>
              </w:rPr>
            </w:pPr>
            <w:r w:rsidRPr="00556412">
              <w:rPr>
                <w:rFonts w:ascii="Times New Roman" w:eastAsia="Calibri" w:hAnsi="Times New Roman" w:cs="Times New Roman"/>
                <w:sz w:val="18"/>
                <w:szCs w:val="18"/>
                <w:lang w:val="en-US"/>
              </w:rPr>
              <w:lastRenderedPageBreak/>
              <w:t>F</w:t>
            </w:r>
          </w:p>
        </w:tc>
        <w:tc>
          <w:tcPr>
            <w:tcW w:w="3150" w:type="dxa"/>
            <w:tcBorders>
              <w:bottom w:val="dashed" w:sz="4" w:space="0" w:color="auto"/>
            </w:tcBorders>
          </w:tcPr>
          <w:p w14:paraId="76BFEABA" w14:textId="4DC75375" w:rsidR="000916B6" w:rsidRPr="00556412" w:rsidRDefault="000916B6" w:rsidP="00556412">
            <w:pPr>
              <w:spacing w:line="240" w:lineRule="atLeast"/>
              <w:rPr>
                <w:rFonts w:ascii="Times New Roman" w:eastAsia="Calibri" w:hAnsi="Times New Roman" w:cs="Times New Roman"/>
                <w:iCs/>
                <w:sz w:val="18"/>
                <w:szCs w:val="18"/>
                <w:lang w:val="en-US"/>
              </w:rPr>
            </w:pPr>
          </w:p>
          <w:p w14:paraId="16062C8C" w14:textId="5A7A4A0C" w:rsidR="003C045B" w:rsidRPr="00556412" w:rsidRDefault="003C045B" w:rsidP="00556412">
            <w:pPr>
              <w:spacing w:line="240" w:lineRule="atLeast"/>
              <w:rPr>
                <w:rFonts w:ascii="Times New Roman" w:eastAsia="Calibri" w:hAnsi="Times New Roman" w:cs="Times New Roman"/>
                <w:sz w:val="18"/>
                <w:szCs w:val="18"/>
                <w:lang w:val="en-US"/>
              </w:rPr>
            </w:pPr>
          </w:p>
        </w:tc>
      </w:tr>
      <w:tr w:rsidR="003C045B" w:rsidRPr="00556412" w14:paraId="69F77E82" w14:textId="77777777" w:rsidTr="003C3604">
        <w:tc>
          <w:tcPr>
            <w:tcW w:w="540" w:type="dxa"/>
          </w:tcPr>
          <w:p w14:paraId="69F19673" w14:textId="7B3D6D02" w:rsidR="003C045B" w:rsidRPr="00556412" w:rsidRDefault="003C045B" w:rsidP="00556412">
            <w:pPr>
              <w:spacing w:line="240" w:lineRule="atLeast"/>
              <w:jc w:val="both"/>
              <w:rPr>
                <w:rFonts w:ascii="Times New Roman" w:eastAsia="Calibri" w:hAnsi="Times New Roman" w:cs="Times New Roman"/>
                <w:sz w:val="18"/>
                <w:szCs w:val="18"/>
                <w:lang w:val="en-US"/>
              </w:rPr>
            </w:pPr>
          </w:p>
        </w:tc>
        <w:tc>
          <w:tcPr>
            <w:tcW w:w="5400" w:type="dxa"/>
          </w:tcPr>
          <w:p w14:paraId="42945CDC" w14:textId="77777777" w:rsidR="000957A0" w:rsidRPr="00556412" w:rsidRDefault="000957A0" w:rsidP="00556412">
            <w:pPr>
              <w:pStyle w:val="NormalWeb"/>
              <w:spacing w:line="240" w:lineRule="atLeast"/>
              <w:jc w:val="both"/>
              <w:rPr>
                <w:rFonts w:eastAsia="Calibri"/>
                <w:iCs/>
                <w:sz w:val="18"/>
                <w:szCs w:val="18"/>
                <w:lang w:val="en-US"/>
              </w:rPr>
            </w:pPr>
          </w:p>
          <w:p w14:paraId="0045F967" w14:textId="6B4148D7" w:rsidR="00F43298" w:rsidRPr="00556412" w:rsidRDefault="00F82F30" w:rsidP="00556412">
            <w:pPr>
              <w:pStyle w:val="NormalWeb"/>
              <w:spacing w:line="240" w:lineRule="atLeast"/>
              <w:jc w:val="both"/>
              <w:rPr>
                <w:rFonts w:eastAsia="Times New Roman"/>
                <w:sz w:val="18"/>
                <w:szCs w:val="18"/>
                <w:lang w:val="en-US"/>
              </w:rPr>
            </w:pPr>
            <w:r w:rsidRPr="00556412">
              <w:rPr>
                <w:rFonts w:eastAsia="Calibri"/>
                <w:iCs/>
                <w:sz w:val="18"/>
                <w:szCs w:val="18"/>
                <w:lang w:val="en-US"/>
              </w:rPr>
              <w:t xml:space="preserve">2.   </w:t>
            </w:r>
            <w:r w:rsidR="00F43298" w:rsidRPr="00556412">
              <w:rPr>
                <w:rFonts w:eastAsia="Times New Roman"/>
                <w:bCs/>
                <w:sz w:val="18"/>
                <w:szCs w:val="18"/>
                <w:lang w:val="en-US"/>
              </w:rPr>
              <w:t>Autoriteti kompetent i një shteti anëtar, në përputhje me rregullimet praktike të zbatueshme të miratuara në përputhje me nenin 21, komunikon gjithashtu informacion autoriteteve kompetente të të gjitha shteteve të tjera anëtare, si dhe Komisionit Evropian, me kufizimin e rasteve të përcaktuara në paragrafin 8 të këtij neni, lidhur me vendimet paraprake ndërkufitare dhe marrëveshjet paraprake për çmimin të lëshuara, të ndryshuara ose të rinovuara brenda një periudhe që fillon pesë vjet para datës 1 janar 2017.</w:t>
            </w:r>
          </w:p>
          <w:p w14:paraId="7C760C8E" w14:textId="77777777" w:rsidR="00F43298" w:rsidRPr="00556412" w:rsidRDefault="00F43298" w:rsidP="00556412">
            <w:pPr>
              <w:spacing w:before="100" w:beforeAutospacing="1" w:after="100" w:afterAutospacing="1" w:line="240" w:lineRule="atLeast"/>
              <w:jc w:val="both"/>
              <w:rPr>
                <w:rFonts w:ascii="Times New Roman" w:eastAsia="Times New Roman" w:hAnsi="Times New Roman" w:cs="Times New Roman"/>
                <w:sz w:val="18"/>
                <w:szCs w:val="18"/>
              </w:rPr>
            </w:pPr>
            <w:r w:rsidRPr="00556412">
              <w:rPr>
                <w:rFonts w:ascii="Times New Roman" w:eastAsia="Times New Roman" w:hAnsi="Times New Roman" w:cs="Times New Roman"/>
                <w:bCs/>
                <w:sz w:val="18"/>
                <w:szCs w:val="18"/>
              </w:rPr>
              <w:t>Nëse vendimet paraprake ndërkufitare dhe marrëveshjet paraprake për çmimin janë lëshuar, ndryshuar ose rinovuar ndërmjet datës 1 janar 2012 dhe 31 dhjetor 2013, një komunikim i tillë kryhet me kusht që ato të kenë qenë ende të vlefshme më 1 janar 2014.</w:t>
            </w:r>
          </w:p>
          <w:p w14:paraId="15CF1B54" w14:textId="3F38ADF3" w:rsidR="00F43298" w:rsidRPr="00556412" w:rsidRDefault="00F43298" w:rsidP="00556412">
            <w:pPr>
              <w:spacing w:before="100" w:beforeAutospacing="1" w:after="100" w:afterAutospacing="1" w:line="240" w:lineRule="atLeast"/>
              <w:jc w:val="both"/>
              <w:rPr>
                <w:rFonts w:ascii="Times New Roman" w:eastAsia="Times New Roman" w:hAnsi="Times New Roman" w:cs="Times New Roman"/>
                <w:sz w:val="18"/>
                <w:szCs w:val="18"/>
              </w:rPr>
            </w:pPr>
            <w:r w:rsidRPr="00556412">
              <w:rPr>
                <w:rFonts w:ascii="Times New Roman" w:eastAsia="Times New Roman" w:hAnsi="Times New Roman" w:cs="Times New Roman"/>
                <w:bCs/>
                <w:sz w:val="18"/>
                <w:szCs w:val="18"/>
              </w:rPr>
              <w:t>Nëse vendimet paraprake ndërkufitare dhe marrëveshjet paraprake për çmimin janë lëshuar, ndryshuar ose rinovuar ndërmjet datës 1 janar 2014 dhe 31 dhjetor 2016, një komunikim i tillë kryhet pavarësisht nëse ato janë ende të vlefshme apo jo.</w:t>
            </w:r>
          </w:p>
          <w:p w14:paraId="5214FF29" w14:textId="010E1F30" w:rsidR="00F43298" w:rsidRPr="00556412" w:rsidRDefault="00F43298" w:rsidP="00556412">
            <w:pPr>
              <w:spacing w:before="100" w:beforeAutospacing="1" w:after="100" w:afterAutospacing="1" w:line="240" w:lineRule="atLeast"/>
              <w:jc w:val="both"/>
              <w:rPr>
                <w:rFonts w:ascii="Times New Roman" w:eastAsia="Times New Roman" w:hAnsi="Times New Roman" w:cs="Times New Roman"/>
                <w:sz w:val="18"/>
                <w:szCs w:val="18"/>
              </w:rPr>
            </w:pPr>
            <w:r w:rsidRPr="00556412">
              <w:rPr>
                <w:rFonts w:ascii="Times New Roman" w:eastAsia="Times New Roman" w:hAnsi="Times New Roman" w:cs="Times New Roman"/>
                <w:sz w:val="18"/>
                <w:szCs w:val="18"/>
              </w:rPr>
              <w:t>*</w:t>
            </w:r>
            <w:r w:rsidRPr="00556412">
              <w:rPr>
                <w:rFonts w:ascii="Times New Roman" w:eastAsia="Times New Roman" w:hAnsi="Times New Roman" w:cs="Times New Roman"/>
                <w:iCs/>
                <w:sz w:val="18"/>
                <w:szCs w:val="18"/>
              </w:rPr>
              <w:t xml:space="preserve">Shtetet anëtare mund të përjashtojnë nga komunikimi i parashikuar në këtë paragraf informacionin mbi vendimet paraprake ndërkufitare dhe </w:t>
            </w:r>
            <w:r w:rsidRPr="00556412">
              <w:rPr>
                <w:rFonts w:ascii="Times New Roman" w:eastAsia="Times New Roman" w:hAnsi="Times New Roman" w:cs="Times New Roman"/>
                <w:iCs/>
                <w:sz w:val="18"/>
                <w:szCs w:val="18"/>
              </w:rPr>
              <w:lastRenderedPageBreak/>
              <w:t>marrëveshjet paraprake për çmimin të lëshuara, të ndryshuara ose të rinovuara përpara datës 1 prill 2016 për një person të caktuar ose një grup personash, duke përjashtuar ata që ushtrojnë kryesisht aktivitete financiare ose investimi, me një xhiro neto vjetore në nivel grupi, siç përcaktohet në pikën (5) të nenit 2 të Direktivës 2013/34/BE të Parlamentit Evropian dhe të Këshillit (1), më të vogël se 40 000 000 EUR (ose ekuivalentin në çdo monedhë tjetër) në vitin fiskal që i paraprin datës së lëshimit, ndryshimit ose rinovimit të këtyre vendimeve ndërkufitare dhe marrëveshjeve paraprake për çmimin.</w:t>
            </w:r>
          </w:p>
          <w:p w14:paraId="4D8B60BA" w14:textId="41854070" w:rsidR="00F43298" w:rsidRPr="00556412" w:rsidRDefault="00F43298" w:rsidP="00556412">
            <w:pPr>
              <w:spacing w:line="240" w:lineRule="atLeast"/>
              <w:jc w:val="both"/>
              <w:rPr>
                <w:rFonts w:ascii="Times New Roman" w:eastAsia="Calibri" w:hAnsi="Times New Roman" w:cs="Times New Roman"/>
                <w:iCs/>
                <w:sz w:val="18"/>
                <w:szCs w:val="18"/>
              </w:rPr>
            </w:pPr>
          </w:p>
          <w:p w14:paraId="7379828A" w14:textId="3E4550E4" w:rsidR="003C045B" w:rsidRPr="00556412" w:rsidRDefault="003C045B" w:rsidP="00556412">
            <w:pPr>
              <w:spacing w:line="240" w:lineRule="atLeast"/>
              <w:jc w:val="both"/>
              <w:rPr>
                <w:rFonts w:ascii="Times New Roman" w:eastAsia="Calibri" w:hAnsi="Times New Roman" w:cs="Times New Roman"/>
                <w:iCs/>
                <w:sz w:val="18"/>
                <w:szCs w:val="18"/>
              </w:rPr>
            </w:pPr>
          </w:p>
        </w:tc>
        <w:tc>
          <w:tcPr>
            <w:tcW w:w="540" w:type="dxa"/>
          </w:tcPr>
          <w:p w14:paraId="126B8A65" w14:textId="484EE591" w:rsidR="003C045B" w:rsidRPr="00556412" w:rsidRDefault="003C045B" w:rsidP="00556412">
            <w:pPr>
              <w:spacing w:line="240" w:lineRule="atLeast"/>
              <w:jc w:val="center"/>
              <w:rPr>
                <w:rFonts w:ascii="Times New Roman" w:eastAsia="Calibri" w:hAnsi="Times New Roman" w:cs="Times New Roman"/>
                <w:sz w:val="18"/>
                <w:szCs w:val="18"/>
              </w:rPr>
            </w:pPr>
          </w:p>
        </w:tc>
        <w:tc>
          <w:tcPr>
            <w:tcW w:w="630" w:type="dxa"/>
          </w:tcPr>
          <w:p w14:paraId="089DB516" w14:textId="77777777" w:rsidR="000957A0" w:rsidRPr="00556412" w:rsidRDefault="000957A0" w:rsidP="00556412">
            <w:pPr>
              <w:spacing w:line="240" w:lineRule="atLeast"/>
              <w:jc w:val="center"/>
              <w:rPr>
                <w:rFonts w:ascii="Times New Roman" w:eastAsia="Calibri" w:hAnsi="Times New Roman" w:cs="Times New Roman"/>
                <w:sz w:val="18"/>
                <w:szCs w:val="18"/>
              </w:rPr>
            </w:pPr>
          </w:p>
          <w:p w14:paraId="0C6D9695" w14:textId="77777777" w:rsidR="000957A0" w:rsidRPr="00556412" w:rsidRDefault="000957A0" w:rsidP="00556412">
            <w:pPr>
              <w:spacing w:line="240" w:lineRule="atLeast"/>
              <w:jc w:val="center"/>
              <w:rPr>
                <w:rFonts w:ascii="Times New Roman" w:eastAsia="Calibri" w:hAnsi="Times New Roman" w:cs="Times New Roman"/>
                <w:sz w:val="18"/>
                <w:szCs w:val="18"/>
              </w:rPr>
            </w:pPr>
          </w:p>
          <w:p w14:paraId="3C182F58" w14:textId="77777777" w:rsidR="000957A0" w:rsidRPr="00556412" w:rsidRDefault="000957A0" w:rsidP="00556412">
            <w:pPr>
              <w:spacing w:line="240" w:lineRule="atLeast"/>
              <w:jc w:val="center"/>
              <w:rPr>
                <w:rFonts w:ascii="Times New Roman" w:eastAsia="Calibri" w:hAnsi="Times New Roman" w:cs="Times New Roman"/>
                <w:sz w:val="18"/>
                <w:szCs w:val="18"/>
              </w:rPr>
            </w:pPr>
          </w:p>
          <w:p w14:paraId="6D0B72D5" w14:textId="77777777" w:rsidR="000957A0" w:rsidRPr="00556412" w:rsidRDefault="000957A0" w:rsidP="00556412">
            <w:pPr>
              <w:spacing w:line="240" w:lineRule="atLeast"/>
              <w:jc w:val="center"/>
              <w:rPr>
                <w:rFonts w:ascii="Times New Roman" w:eastAsia="Calibri" w:hAnsi="Times New Roman" w:cs="Times New Roman"/>
                <w:sz w:val="18"/>
                <w:szCs w:val="18"/>
              </w:rPr>
            </w:pPr>
          </w:p>
          <w:p w14:paraId="22CDBA63" w14:textId="06DD261A" w:rsidR="000957A0" w:rsidRPr="00556412" w:rsidRDefault="00F43298" w:rsidP="00556412">
            <w:pPr>
              <w:spacing w:line="240" w:lineRule="atLeast"/>
              <w:jc w:val="center"/>
              <w:rPr>
                <w:rFonts w:ascii="Times New Roman" w:eastAsia="Calibri" w:hAnsi="Times New Roman" w:cs="Times New Roman"/>
                <w:sz w:val="18"/>
                <w:szCs w:val="18"/>
                <w:lang w:val="en-US"/>
              </w:rPr>
            </w:pPr>
            <w:r w:rsidRPr="00556412">
              <w:rPr>
                <w:rFonts w:ascii="Times New Roman" w:eastAsia="Calibri" w:hAnsi="Times New Roman" w:cs="Times New Roman"/>
                <w:sz w:val="18"/>
                <w:szCs w:val="18"/>
                <w:lang w:val="en-US"/>
              </w:rPr>
              <w:t>Neni</w:t>
            </w:r>
            <w:r w:rsidR="00EC4617" w:rsidRPr="00556412">
              <w:rPr>
                <w:rFonts w:ascii="Times New Roman" w:eastAsia="Calibri" w:hAnsi="Times New Roman" w:cs="Times New Roman"/>
                <w:sz w:val="18"/>
                <w:szCs w:val="18"/>
                <w:lang w:val="en-US"/>
              </w:rPr>
              <w:t xml:space="preserve"> </w:t>
            </w:r>
          </w:p>
          <w:p w14:paraId="4F71CC44" w14:textId="7A0B6925" w:rsidR="003C045B" w:rsidRPr="00556412" w:rsidRDefault="00EC4617" w:rsidP="00556412">
            <w:pPr>
              <w:spacing w:line="240" w:lineRule="atLeast"/>
              <w:jc w:val="center"/>
              <w:rPr>
                <w:rFonts w:ascii="Times New Roman" w:eastAsia="Calibri" w:hAnsi="Times New Roman" w:cs="Times New Roman"/>
                <w:sz w:val="18"/>
                <w:szCs w:val="18"/>
                <w:lang w:val="en-US"/>
              </w:rPr>
            </w:pPr>
            <w:r w:rsidRPr="00556412">
              <w:rPr>
                <w:rFonts w:ascii="Times New Roman" w:eastAsia="Calibri" w:hAnsi="Times New Roman" w:cs="Times New Roman"/>
                <w:sz w:val="18"/>
                <w:szCs w:val="18"/>
                <w:lang w:val="en-US"/>
              </w:rPr>
              <w:t xml:space="preserve">3 </w:t>
            </w:r>
          </w:p>
        </w:tc>
        <w:tc>
          <w:tcPr>
            <w:tcW w:w="4964" w:type="dxa"/>
          </w:tcPr>
          <w:p w14:paraId="7E02E6A5" w14:textId="77777777" w:rsidR="001C7741" w:rsidRPr="00556412" w:rsidRDefault="001C7741" w:rsidP="00556412">
            <w:pPr>
              <w:spacing w:line="240" w:lineRule="atLeast"/>
              <w:jc w:val="both"/>
              <w:rPr>
                <w:rFonts w:ascii="Times New Roman" w:eastAsia="Calibri" w:hAnsi="Times New Roman" w:cs="Times New Roman"/>
                <w:sz w:val="18"/>
                <w:szCs w:val="18"/>
                <w:lang w:val="it-CH"/>
              </w:rPr>
            </w:pPr>
          </w:p>
          <w:p w14:paraId="3F9163F3" w14:textId="77777777" w:rsidR="001C7741" w:rsidRPr="00556412" w:rsidRDefault="001C7741" w:rsidP="00556412">
            <w:pPr>
              <w:spacing w:line="240" w:lineRule="atLeast"/>
              <w:ind w:left="360"/>
              <w:jc w:val="both"/>
              <w:rPr>
                <w:rFonts w:ascii="Times New Roman" w:eastAsia="Calibri" w:hAnsi="Times New Roman" w:cs="Times New Roman"/>
                <w:sz w:val="18"/>
                <w:szCs w:val="18"/>
                <w:lang w:val="it-CH"/>
              </w:rPr>
            </w:pPr>
          </w:p>
          <w:p w14:paraId="7EF89167" w14:textId="77777777" w:rsidR="000957A0" w:rsidRPr="00556412" w:rsidRDefault="000957A0" w:rsidP="00556412">
            <w:pPr>
              <w:spacing w:line="240" w:lineRule="atLeast"/>
              <w:jc w:val="center"/>
              <w:rPr>
                <w:rFonts w:ascii="Times New Roman" w:hAnsi="Times New Roman" w:cs="Times New Roman"/>
                <w:b/>
                <w:sz w:val="18"/>
                <w:szCs w:val="18"/>
                <w:lang w:val="sq-AL"/>
              </w:rPr>
            </w:pPr>
          </w:p>
          <w:p w14:paraId="10ED48B8" w14:textId="77777777" w:rsidR="000957A0" w:rsidRPr="00556412" w:rsidRDefault="000957A0" w:rsidP="00556412">
            <w:pPr>
              <w:spacing w:line="240" w:lineRule="atLeast"/>
              <w:jc w:val="center"/>
              <w:rPr>
                <w:rFonts w:ascii="Times New Roman" w:hAnsi="Times New Roman" w:cs="Times New Roman"/>
                <w:b/>
                <w:sz w:val="18"/>
                <w:szCs w:val="18"/>
                <w:lang w:val="sq-AL"/>
              </w:rPr>
            </w:pPr>
          </w:p>
          <w:p w14:paraId="0544FB50" w14:textId="20EF21B8" w:rsidR="001C7741" w:rsidRPr="00556412" w:rsidRDefault="001C7741" w:rsidP="00556412">
            <w:pPr>
              <w:spacing w:line="240" w:lineRule="atLeast"/>
              <w:jc w:val="center"/>
              <w:rPr>
                <w:rFonts w:ascii="Times New Roman" w:hAnsi="Times New Roman" w:cs="Times New Roman"/>
                <w:b/>
                <w:sz w:val="18"/>
                <w:szCs w:val="18"/>
                <w:lang w:val="sq-AL"/>
              </w:rPr>
            </w:pPr>
            <w:r w:rsidRPr="00556412">
              <w:rPr>
                <w:rFonts w:ascii="Times New Roman" w:hAnsi="Times New Roman" w:cs="Times New Roman"/>
                <w:b/>
                <w:sz w:val="18"/>
                <w:szCs w:val="18"/>
                <w:lang w:val="sq-AL"/>
              </w:rPr>
              <w:t>Neni 3</w:t>
            </w:r>
          </w:p>
          <w:p w14:paraId="4269EB87" w14:textId="77777777" w:rsidR="001C7741" w:rsidRPr="00556412" w:rsidRDefault="001C7741" w:rsidP="00556412">
            <w:pPr>
              <w:spacing w:line="240" w:lineRule="atLeast"/>
              <w:jc w:val="center"/>
              <w:rPr>
                <w:rFonts w:ascii="Times New Roman" w:hAnsi="Times New Roman" w:cs="Times New Roman"/>
                <w:sz w:val="18"/>
                <w:szCs w:val="18"/>
                <w:lang w:val="sq-AL"/>
              </w:rPr>
            </w:pPr>
            <w:r w:rsidRPr="00556412">
              <w:rPr>
                <w:rFonts w:ascii="Times New Roman" w:hAnsi="Times New Roman" w:cs="Times New Roman"/>
                <w:b/>
                <w:sz w:val="18"/>
                <w:szCs w:val="18"/>
                <w:lang w:val="sq-AL"/>
              </w:rPr>
              <w:t>Fushëveprimi i shkëmbimit automatik dhe detyrimi për shkëmbim</w:t>
            </w:r>
          </w:p>
          <w:p w14:paraId="50E3456A" w14:textId="77777777" w:rsidR="001C7741" w:rsidRPr="00556412" w:rsidRDefault="001C7741" w:rsidP="00556412">
            <w:pPr>
              <w:spacing w:line="240" w:lineRule="atLeast"/>
              <w:jc w:val="both"/>
              <w:rPr>
                <w:rFonts w:ascii="Times New Roman" w:eastAsia="Calibri" w:hAnsi="Times New Roman" w:cs="Times New Roman"/>
                <w:sz w:val="18"/>
                <w:szCs w:val="18"/>
                <w:lang w:val="it-CH"/>
              </w:rPr>
            </w:pPr>
          </w:p>
          <w:p w14:paraId="036997C1" w14:textId="77777777" w:rsidR="001C7741" w:rsidRPr="00556412" w:rsidRDefault="001C7741" w:rsidP="00556412">
            <w:pPr>
              <w:spacing w:line="240" w:lineRule="atLeast"/>
              <w:ind w:left="360"/>
              <w:jc w:val="both"/>
              <w:rPr>
                <w:rFonts w:ascii="Times New Roman" w:eastAsia="Calibri" w:hAnsi="Times New Roman" w:cs="Times New Roman"/>
                <w:sz w:val="18"/>
                <w:szCs w:val="18"/>
                <w:lang w:val="it-CH"/>
              </w:rPr>
            </w:pPr>
          </w:p>
          <w:p w14:paraId="16DB7E7D" w14:textId="3D1634CC" w:rsidR="001C7741" w:rsidRPr="00556412" w:rsidRDefault="001C7741" w:rsidP="00556412">
            <w:pPr>
              <w:spacing w:line="240" w:lineRule="atLeast"/>
              <w:jc w:val="both"/>
              <w:rPr>
                <w:rFonts w:ascii="Times New Roman" w:eastAsia="Calibri" w:hAnsi="Times New Roman" w:cs="Times New Roman"/>
                <w:sz w:val="18"/>
                <w:szCs w:val="18"/>
                <w:lang w:val="it-CH"/>
              </w:rPr>
            </w:pPr>
            <w:r w:rsidRPr="00556412">
              <w:rPr>
                <w:rFonts w:ascii="Times New Roman" w:eastAsia="Calibri" w:hAnsi="Times New Roman" w:cs="Times New Roman"/>
                <w:sz w:val="18"/>
                <w:szCs w:val="18"/>
                <w:lang w:val="it-CH"/>
              </w:rPr>
              <w:t>5.</w:t>
            </w:r>
            <w:r w:rsidR="000957A0" w:rsidRPr="00556412">
              <w:rPr>
                <w:rFonts w:ascii="Times New Roman" w:eastAsia="Calibri" w:hAnsi="Times New Roman" w:cs="Times New Roman"/>
                <w:sz w:val="18"/>
                <w:szCs w:val="18"/>
                <w:lang w:val="it-CH"/>
              </w:rPr>
              <w:t xml:space="preserve"> </w:t>
            </w:r>
            <w:r w:rsidRPr="00556412">
              <w:rPr>
                <w:rFonts w:ascii="Times New Roman" w:eastAsia="Calibri" w:hAnsi="Times New Roman" w:cs="Times New Roman"/>
                <w:sz w:val="18"/>
                <w:szCs w:val="18"/>
                <w:lang w:val="it-CH"/>
              </w:rPr>
              <w:t>Drejtoria e Përgjithshme e Tatimeve me shkëmbimin automatik, komunikon informacion mbi çdo vendim paraprak ndërkufitar ose Marrëveshja Çmimit në Avancë që ka lëshuar, ndryshuar ose rinovuar në Republikën e Shqipërisë.</w:t>
            </w:r>
          </w:p>
          <w:p w14:paraId="5BB63C0C" w14:textId="47214BF2" w:rsidR="003C045B" w:rsidRPr="00556412" w:rsidRDefault="001C7741" w:rsidP="00556412">
            <w:pPr>
              <w:spacing w:line="240" w:lineRule="atLeast"/>
              <w:jc w:val="both"/>
              <w:rPr>
                <w:rFonts w:ascii="Times New Roman" w:eastAsia="Calibri" w:hAnsi="Times New Roman" w:cs="Times New Roman"/>
                <w:sz w:val="18"/>
                <w:szCs w:val="18"/>
                <w:lang w:val="it-CH"/>
              </w:rPr>
            </w:pPr>
            <w:r w:rsidRPr="00556412">
              <w:rPr>
                <w:rFonts w:ascii="Times New Roman" w:eastAsia="Calibri" w:hAnsi="Times New Roman" w:cs="Times New Roman"/>
                <w:sz w:val="18"/>
                <w:szCs w:val="18"/>
                <w:lang w:val="it-CH"/>
              </w:rPr>
              <w:t>6.</w:t>
            </w:r>
            <w:r w:rsidR="000957A0" w:rsidRPr="00556412">
              <w:rPr>
                <w:rFonts w:ascii="Times New Roman" w:eastAsia="Calibri" w:hAnsi="Times New Roman" w:cs="Times New Roman"/>
                <w:sz w:val="18"/>
                <w:szCs w:val="18"/>
                <w:lang w:val="it-CH"/>
              </w:rPr>
              <w:t xml:space="preserve"> </w:t>
            </w:r>
            <w:r w:rsidR="00853579" w:rsidRPr="00556412">
              <w:rPr>
                <w:rFonts w:ascii="Times New Roman" w:eastAsia="Calibri" w:hAnsi="Times New Roman" w:cs="Times New Roman"/>
                <w:sz w:val="18"/>
                <w:szCs w:val="18"/>
                <w:lang w:val="it-CH"/>
              </w:rPr>
              <w:t xml:space="preserve">Drejtoria e Përgjithshme e Tatimeve </w:t>
            </w:r>
            <w:r w:rsidRPr="00556412">
              <w:rPr>
                <w:rFonts w:ascii="Times New Roman" w:eastAsia="Calibri" w:hAnsi="Times New Roman" w:cs="Times New Roman"/>
                <w:sz w:val="18"/>
                <w:szCs w:val="18"/>
                <w:lang w:val="it-CH"/>
              </w:rPr>
              <w:t>mund të përjashtojnë nga komunikimi mbi vendimet paraprake ndërkufitare dhe marrëveshjet e çmimeve në avancë për një person të caktuar ose një grup personash, duke përjashtuar ata që kryejnë kryesisht aktivitete financiare ose investuese, me një qarkullim neto vjetor prej më pak se 40 000 000 EUR (ose shuma ekuivalente në çdo monedhë tjeter) në vitin fiskal.</w:t>
            </w:r>
          </w:p>
        </w:tc>
        <w:tc>
          <w:tcPr>
            <w:tcW w:w="976" w:type="dxa"/>
          </w:tcPr>
          <w:p w14:paraId="3CBB56CD" w14:textId="77777777" w:rsidR="000957A0" w:rsidRPr="00556412" w:rsidRDefault="000957A0" w:rsidP="00556412">
            <w:pPr>
              <w:spacing w:line="240" w:lineRule="atLeast"/>
              <w:jc w:val="center"/>
              <w:rPr>
                <w:rFonts w:ascii="Times New Roman" w:eastAsia="Calibri" w:hAnsi="Times New Roman" w:cs="Times New Roman"/>
                <w:sz w:val="18"/>
                <w:szCs w:val="18"/>
                <w:lang w:val="it-CH"/>
              </w:rPr>
            </w:pPr>
          </w:p>
          <w:p w14:paraId="19FC556D" w14:textId="77777777" w:rsidR="000957A0" w:rsidRPr="00556412" w:rsidRDefault="000957A0" w:rsidP="00556412">
            <w:pPr>
              <w:spacing w:line="240" w:lineRule="atLeast"/>
              <w:jc w:val="center"/>
              <w:rPr>
                <w:rFonts w:ascii="Times New Roman" w:eastAsia="Calibri" w:hAnsi="Times New Roman" w:cs="Times New Roman"/>
                <w:sz w:val="18"/>
                <w:szCs w:val="18"/>
                <w:lang w:val="it-CH"/>
              </w:rPr>
            </w:pPr>
          </w:p>
          <w:p w14:paraId="624D1B80" w14:textId="77777777" w:rsidR="000957A0" w:rsidRPr="00556412" w:rsidRDefault="000957A0" w:rsidP="00556412">
            <w:pPr>
              <w:spacing w:line="240" w:lineRule="atLeast"/>
              <w:jc w:val="center"/>
              <w:rPr>
                <w:rFonts w:ascii="Times New Roman" w:eastAsia="Calibri" w:hAnsi="Times New Roman" w:cs="Times New Roman"/>
                <w:sz w:val="18"/>
                <w:szCs w:val="18"/>
                <w:lang w:val="it-CH"/>
              </w:rPr>
            </w:pPr>
          </w:p>
          <w:p w14:paraId="7C0C0F1F" w14:textId="77777777" w:rsidR="000957A0" w:rsidRPr="00556412" w:rsidRDefault="000957A0" w:rsidP="00556412">
            <w:pPr>
              <w:spacing w:line="240" w:lineRule="atLeast"/>
              <w:jc w:val="center"/>
              <w:rPr>
                <w:rFonts w:ascii="Times New Roman" w:eastAsia="Calibri" w:hAnsi="Times New Roman" w:cs="Times New Roman"/>
                <w:sz w:val="18"/>
                <w:szCs w:val="18"/>
                <w:lang w:val="it-CH"/>
              </w:rPr>
            </w:pPr>
          </w:p>
          <w:p w14:paraId="792A6F0C" w14:textId="4324F65C" w:rsidR="003C045B" w:rsidRPr="00556412" w:rsidRDefault="003C045B" w:rsidP="00556412">
            <w:pPr>
              <w:spacing w:line="240" w:lineRule="atLeast"/>
              <w:jc w:val="center"/>
              <w:rPr>
                <w:rFonts w:ascii="Times New Roman" w:eastAsia="Calibri" w:hAnsi="Times New Roman" w:cs="Times New Roman"/>
                <w:sz w:val="18"/>
                <w:szCs w:val="18"/>
                <w:lang w:val="en-US"/>
              </w:rPr>
            </w:pPr>
            <w:r w:rsidRPr="00556412">
              <w:rPr>
                <w:rFonts w:ascii="Times New Roman" w:eastAsia="Calibri" w:hAnsi="Times New Roman" w:cs="Times New Roman"/>
                <w:sz w:val="18"/>
                <w:szCs w:val="18"/>
                <w:lang w:val="en-US"/>
              </w:rPr>
              <w:t>F</w:t>
            </w:r>
          </w:p>
        </w:tc>
        <w:tc>
          <w:tcPr>
            <w:tcW w:w="3150" w:type="dxa"/>
          </w:tcPr>
          <w:p w14:paraId="6BF325A1" w14:textId="47A36095" w:rsidR="003C045B" w:rsidRPr="00556412" w:rsidRDefault="003C045B" w:rsidP="00556412">
            <w:pPr>
              <w:spacing w:line="240" w:lineRule="atLeast"/>
              <w:rPr>
                <w:rFonts w:ascii="Times New Roman" w:eastAsia="Calibri" w:hAnsi="Times New Roman" w:cs="Times New Roman"/>
                <w:sz w:val="18"/>
                <w:szCs w:val="18"/>
                <w:lang w:val="en-US"/>
              </w:rPr>
            </w:pPr>
          </w:p>
        </w:tc>
      </w:tr>
      <w:tr w:rsidR="003C045B" w:rsidRPr="00556412" w14:paraId="602A0892" w14:textId="77777777" w:rsidTr="003C3604">
        <w:trPr>
          <w:trHeight w:val="900"/>
        </w:trPr>
        <w:tc>
          <w:tcPr>
            <w:tcW w:w="540" w:type="dxa"/>
          </w:tcPr>
          <w:p w14:paraId="176CFC32" w14:textId="7CC0D92E" w:rsidR="003C045B" w:rsidRPr="00556412" w:rsidRDefault="003C045B" w:rsidP="00556412">
            <w:pPr>
              <w:spacing w:line="240" w:lineRule="atLeast"/>
              <w:jc w:val="both"/>
              <w:rPr>
                <w:rFonts w:ascii="Times New Roman" w:eastAsia="Calibri" w:hAnsi="Times New Roman" w:cs="Times New Roman"/>
                <w:sz w:val="18"/>
                <w:szCs w:val="18"/>
                <w:lang w:val="en-US"/>
              </w:rPr>
            </w:pPr>
          </w:p>
        </w:tc>
        <w:tc>
          <w:tcPr>
            <w:tcW w:w="5400" w:type="dxa"/>
          </w:tcPr>
          <w:p w14:paraId="7C6CA96B" w14:textId="42F89F55" w:rsidR="00F43298" w:rsidRPr="00556412" w:rsidRDefault="00F82F30" w:rsidP="00556412">
            <w:pPr>
              <w:spacing w:line="240" w:lineRule="atLeast"/>
              <w:jc w:val="both"/>
              <w:rPr>
                <w:rFonts w:ascii="Times New Roman" w:eastAsia="Calibri" w:hAnsi="Times New Roman" w:cs="Times New Roman"/>
                <w:iCs/>
                <w:sz w:val="18"/>
                <w:szCs w:val="18"/>
                <w:lang w:val="en-US"/>
              </w:rPr>
            </w:pPr>
            <w:r w:rsidRPr="00556412">
              <w:rPr>
                <w:rFonts w:ascii="Times New Roman" w:eastAsia="Calibri" w:hAnsi="Times New Roman" w:cs="Times New Roman"/>
                <w:iCs/>
                <w:sz w:val="18"/>
                <w:szCs w:val="18"/>
                <w:lang w:val="en-US"/>
              </w:rPr>
              <w:t xml:space="preserve">3.   </w:t>
            </w:r>
            <w:r w:rsidR="00F43298" w:rsidRPr="00556412">
              <w:rPr>
                <w:rFonts w:ascii="Times New Roman" w:eastAsia="Times New Roman" w:hAnsi="Times New Roman" w:cs="Times New Roman"/>
                <w:bCs/>
                <w:sz w:val="18"/>
                <w:szCs w:val="18"/>
              </w:rPr>
              <w:t>Marrëveshjet paraprake për çmimin dypalëshe ose shumëpalëshe me vende të treta përjashtohen nga fusha e zbatimit të shkëmbimit automatik të informacionit sipas këtij neni, kur marrëveshja ndërkombëtare tatimore në bazë të së cilës është negociuar marrëveshja paraprake për çmimin nuk lejon zbulimin e saj ndaj palëve të treta.</w:t>
            </w:r>
          </w:p>
          <w:p w14:paraId="1D1E8B22" w14:textId="77777777" w:rsidR="00F43298" w:rsidRPr="00556412" w:rsidRDefault="00F43298" w:rsidP="00556412">
            <w:pPr>
              <w:spacing w:before="100" w:beforeAutospacing="1" w:after="100" w:afterAutospacing="1" w:line="240" w:lineRule="atLeast"/>
              <w:jc w:val="both"/>
              <w:rPr>
                <w:rFonts w:ascii="Times New Roman" w:eastAsia="Times New Roman" w:hAnsi="Times New Roman" w:cs="Times New Roman"/>
                <w:sz w:val="18"/>
                <w:szCs w:val="18"/>
              </w:rPr>
            </w:pPr>
            <w:r w:rsidRPr="00556412">
              <w:rPr>
                <w:rFonts w:ascii="Times New Roman" w:eastAsia="Times New Roman" w:hAnsi="Times New Roman" w:cs="Times New Roman"/>
                <w:bCs/>
                <w:sz w:val="18"/>
                <w:szCs w:val="18"/>
              </w:rPr>
              <w:t>Këto marrëveshje paraprake për çmimin dypalëshe ose shumëpalëshe do të shkëmbehen në përputhje me nenin 9, kur marrëveshja ndërkombëtare tatimore në bazë të së cilës është negociuar marrëveshja paraprake për çmimin lejon zbulimin e saj dhe autoriteti kompetent i vendit të tretë jep miratimin për zbulimin e informacionit.</w:t>
            </w:r>
          </w:p>
          <w:p w14:paraId="07BBA743" w14:textId="7E945F72" w:rsidR="00F43298" w:rsidRPr="00556412" w:rsidRDefault="00F43298" w:rsidP="00556412">
            <w:pPr>
              <w:spacing w:before="100" w:beforeAutospacing="1" w:after="100" w:afterAutospacing="1" w:line="240" w:lineRule="atLeast"/>
              <w:jc w:val="both"/>
              <w:rPr>
                <w:rFonts w:ascii="Times New Roman" w:eastAsia="Times New Roman" w:hAnsi="Times New Roman" w:cs="Times New Roman"/>
                <w:sz w:val="18"/>
                <w:szCs w:val="18"/>
              </w:rPr>
            </w:pPr>
            <w:r w:rsidRPr="00556412">
              <w:rPr>
                <w:rFonts w:ascii="Times New Roman" w:eastAsia="Times New Roman" w:hAnsi="Times New Roman" w:cs="Times New Roman"/>
                <w:bCs/>
                <w:sz w:val="18"/>
                <w:szCs w:val="18"/>
              </w:rPr>
              <w:t>Megjithatë, kur marrëveshjet paraprake për çmimin dypalëshe ose shumëpalëshe përjashtohen nga shkëmbimi automatik i informacionit sipas fjalisë së parë të nënparagrafit të parë të këtij paragrafi, informacioni i identifikuar në paragrafin 6 të këtij neni, i referuar në kërkesën që ka çuar në nxjerrjen e një marrëveshjeje të tillë dypalëshe ose shumëpalëshe, shkëmbehet në vend të kësaj në përputhje me paragrafët 1 dhe 2 të këtij neni.</w:t>
            </w:r>
          </w:p>
          <w:p w14:paraId="37B59ACE" w14:textId="1556B32D" w:rsidR="00462F38" w:rsidRPr="00556412" w:rsidRDefault="00462F38" w:rsidP="00556412">
            <w:pPr>
              <w:spacing w:line="240" w:lineRule="atLeast"/>
              <w:jc w:val="both"/>
              <w:rPr>
                <w:rFonts w:ascii="Times New Roman" w:eastAsia="Calibri" w:hAnsi="Times New Roman" w:cs="Times New Roman"/>
                <w:iCs/>
                <w:sz w:val="18"/>
                <w:szCs w:val="18"/>
              </w:rPr>
            </w:pPr>
          </w:p>
          <w:p w14:paraId="4B13DA69" w14:textId="1CCFA5DE" w:rsidR="003C045B" w:rsidRPr="00556412" w:rsidRDefault="003C045B" w:rsidP="00556412">
            <w:pPr>
              <w:spacing w:line="240" w:lineRule="atLeast"/>
              <w:jc w:val="both"/>
              <w:rPr>
                <w:rFonts w:ascii="Times New Roman" w:eastAsia="Calibri" w:hAnsi="Times New Roman" w:cs="Times New Roman"/>
                <w:iCs/>
                <w:sz w:val="18"/>
                <w:szCs w:val="18"/>
              </w:rPr>
            </w:pPr>
          </w:p>
        </w:tc>
        <w:tc>
          <w:tcPr>
            <w:tcW w:w="540" w:type="dxa"/>
          </w:tcPr>
          <w:p w14:paraId="08D27D38" w14:textId="022BD9E7" w:rsidR="003C045B" w:rsidRPr="00556412" w:rsidRDefault="003C045B" w:rsidP="00556412">
            <w:pPr>
              <w:spacing w:line="240" w:lineRule="atLeast"/>
              <w:jc w:val="center"/>
              <w:rPr>
                <w:rFonts w:ascii="Times New Roman" w:eastAsia="Calibri" w:hAnsi="Times New Roman" w:cs="Times New Roman"/>
                <w:sz w:val="18"/>
                <w:szCs w:val="18"/>
              </w:rPr>
            </w:pPr>
          </w:p>
        </w:tc>
        <w:tc>
          <w:tcPr>
            <w:tcW w:w="630" w:type="dxa"/>
          </w:tcPr>
          <w:p w14:paraId="09FFBA71" w14:textId="77777777" w:rsidR="00205E01" w:rsidRPr="00556412" w:rsidRDefault="00205E01" w:rsidP="00556412">
            <w:pPr>
              <w:spacing w:line="240" w:lineRule="atLeast"/>
              <w:jc w:val="center"/>
              <w:rPr>
                <w:rFonts w:ascii="Times New Roman" w:eastAsia="Calibri" w:hAnsi="Times New Roman" w:cs="Times New Roman"/>
                <w:sz w:val="18"/>
                <w:szCs w:val="18"/>
              </w:rPr>
            </w:pPr>
          </w:p>
          <w:p w14:paraId="76515CA7" w14:textId="1D84C82A" w:rsidR="003C045B" w:rsidRPr="00556412" w:rsidRDefault="00F43298" w:rsidP="00556412">
            <w:pPr>
              <w:spacing w:line="240" w:lineRule="atLeast"/>
              <w:jc w:val="center"/>
              <w:rPr>
                <w:rFonts w:ascii="Times New Roman" w:eastAsia="Calibri" w:hAnsi="Times New Roman" w:cs="Times New Roman"/>
                <w:sz w:val="18"/>
                <w:szCs w:val="18"/>
                <w:lang w:val="en-US"/>
              </w:rPr>
            </w:pPr>
            <w:r w:rsidRPr="00556412">
              <w:rPr>
                <w:rFonts w:ascii="Times New Roman" w:eastAsia="Calibri" w:hAnsi="Times New Roman" w:cs="Times New Roman"/>
                <w:sz w:val="18"/>
                <w:szCs w:val="18"/>
                <w:lang w:val="en-US"/>
              </w:rPr>
              <w:t>Neni</w:t>
            </w:r>
            <w:r w:rsidR="00EC4617" w:rsidRPr="00556412">
              <w:rPr>
                <w:rFonts w:ascii="Times New Roman" w:eastAsia="Calibri" w:hAnsi="Times New Roman" w:cs="Times New Roman"/>
                <w:sz w:val="18"/>
                <w:szCs w:val="18"/>
                <w:lang w:val="en-US"/>
              </w:rPr>
              <w:t xml:space="preserve"> 3 </w:t>
            </w:r>
          </w:p>
        </w:tc>
        <w:tc>
          <w:tcPr>
            <w:tcW w:w="4964" w:type="dxa"/>
            <w:tcBorders>
              <w:bottom w:val="dashed" w:sz="4" w:space="0" w:color="auto"/>
            </w:tcBorders>
          </w:tcPr>
          <w:p w14:paraId="5A86BE1E" w14:textId="189C6532" w:rsidR="001C7741" w:rsidRPr="00556412" w:rsidRDefault="001C7741" w:rsidP="00556412">
            <w:pPr>
              <w:spacing w:line="240" w:lineRule="atLeast"/>
              <w:jc w:val="both"/>
              <w:rPr>
                <w:rFonts w:ascii="Times New Roman" w:eastAsia="Calibri" w:hAnsi="Times New Roman" w:cs="Times New Roman"/>
                <w:sz w:val="18"/>
                <w:szCs w:val="18"/>
              </w:rPr>
            </w:pPr>
          </w:p>
          <w:p w14:paraId="6D619C96" w14:textId="0CAF1DC3" w:rsidR="001C7741" w:rsidRPr="00556412" w:rsidRDefault="001C7741" w:rsidP="00556412">
            <w:pPr>
              <w:spacing w:line="240" w:lineRule="atLeast"/>
              <w:jc w:val="center"/>
              <w:rPr>
                <w:rFonts w:ascii="Times New Roman" w:eastAsia="Calibri" w:hAnsi="Times New Roman" w:cs="Times New Roman"/>
                <w:b/>
                <w:sz w:val="18"/>
                <w:szCs w:val="18"/>
              </w:rPr>
            </w:pPr>
            <w:r w:rsidRPr="00556412">
              <w:rPr>
                <w:rFonts w:ascii="Times New Roman" w:eastAsia="Calibri" w:hAnsi="Times New Roman" w:cs="Times New Roman"/>
                <w:b/>
                <w:sz w:val="18"/>
                <w:szCs w:val="18"/>
              </w:rPr>
              <w:t>Neni 3</w:t>
            </w:r>
          </w:p>
          <w:p w14:paraId="35158008" w14:textId="77777777" w:rsidR="001C7741" w:rsidRPr="00556412" w:rsidRDefault="001C7741" w:rsidP="00556412">
            <w:pPr>
              <w:spacing w:line="240" w:lineRule="atLeast"/>
              <w:jc w:val="center"/>
              <w:rPr>
                <w:rFonts w:ascii="Times New Roman" w:eastAsia="Calibri" w:hAnsi="Times New Roman" w:cs="Times New Roman"/>
                <w:b/>
                <w:sz w:val="18"/>
                <w:szCs w:val="18"/>
              </w:rPr>
            </w:pPr>
          </w:p>
          <w:p w14:paraId="553257D6" w14:textId="54C10A25" w:rsidR="001C7741" w:rsidRPr="00556412" w:rsidRDefault="001C7741" w:rsidP="00556412">
            <w:pPr>
              <w:spacing w:line="240" w:lineRule="atLeast"/>
              <w:jc w:val="center"/>
              <w:rPr>
                <w:rFonts w:ascii="Times New Roman" w:eastAsia="Calibri" w:hAnsi="Times New Roman" w:cs="Times New Roman"/>
                <w:b/>
                <w:sz w:val="18"/>
                <w:szCs w:val="18"/>
              </w:rPr>
            </w:pPr>
            <w:r w:rsidRPr="00556412">
              <w:rPr>
                <w:rFonts w:ascii="Times New Roman" w:eastAsia="Calibri" w:hAnsi="Times New Roman" w:cs="Times New Roman"/>
                <w:b/>
                <w:sz w:val="18"/>
                <w:szCs w:val="18"/>
              </w:rPr>
              <w:t>Fushëveprimi i shkëmbimit automatik dhe detyrimi për shkëmbim</w:t>
            </w:r>
          </w:p>
          <w:p w14:paraId="20B56A29" w14:textId="77777777" w:rsidR="001C7741" w:rsidRPr="00556412" w:rsidRDefault="001C7741" w:rsidP="00556412">
            <w:pPr>
              <w:spacing w:line="240" w:lineRule="atLeast"/>
              <w:jc w:val="both"/>
              <w:rPr>
                <w:rFonts w:ascii="Times New Roman" w:eastAsia="Calibri" w:hAnsi="Times New Roman" w:cs="Times New Roman"/>
                <w:sz w:val="18"/>
                <w:szCs w:val="18"/>
              </w:rPr>
            </w:pPr>
          </w:p>
          <w:p w14:paraId="2A5C5DAB" w14:textId="284E28B8" w:rsidR="003C045B" w:rsidRPr="00556412" w:rsidRDefault="001C7741" w:rsidP="00556412">
            <w:pPr>
              <w:spacing w:line="240" w:lineRule="atLeast"/>
              <w:jc w:val="both"/>
              <w:rPr>
                <w:rFonts w:ascii="Times New Roman" w:eastAsia="Calibri" w:hAnsi="Times New Roman" w:cs="Times New Roman"/>
                <w:sz w:val="18"/>
                <w:szCs w:val="18"/>
              </w:rPr>
            </w:pPr>
            <w:r w:rsidRPr="00556412">
              <w:rPr>
                <w:rFonts w:ascii="Times New Roman" w:eastAsia="Calibri" w:hAnsi="Times New Roman" w:cs="Times New Roman"/>
                <w:sz w:val="18"/>
                <w:szCs w:val="18"/>
              </w:rPr>
              <w:t>7.</w:t>
            </w:r>
            <w:r w:rsidR="000957A0" w:rsidRPr="00556412">
              <w:rPr>
                <w:rFonts w:ascii="Times New Roman" w:eastAsia="Calibri" w:hAnsi="Times New Roman" w:cs="Times New Roman"/>
                <w:sz w:val="18"/>
                <w:szCs w:val="18"/>
              </w:rPr>
              <w:t xml:space="preserve"> </w:t>
            </w:r>
            <w:r w:rsidR="001F55AE" w:rsidRPr="00556412">
              <w:rPr>
                <w:rFonts w:ascii="Times New Roman" w:hAnsi="Times New Roman" w:cs="Times New Roman"/>
                <w:sz w:val="18"/>
                <w:szCs w:val="18"/>
                <w:lang w:val="sq-AL"/>
              </w:rPr>
              <w:t xml:space="preserve">Marrëveshjet dypalëshe ose shumëpalëshe të çmimit në avancë me vendet e treta përjashtohen nga shkëmbimi automatik i informacionit sipas këtij neni, në rastet kur marrëveshja ndërkombëtare tatimore, mbi bazën e së cilës është negociuar marrëveshja e çmimit në avancë, nuk lejon shkëmbimin ose komunikimin e informacionit me palë të treta. Këto marrëveshje shkëmbehen vetëm kur marrëveshja ndërkombëtare përkatëse lejon komunikimin e informacionit dhe autoriteti kompetent i vendit të tretë ka dhënë autorizimin përkatës për dhënien e tij. </w:t>
            </w:r>
          </w:p>
        </w:tc>
        <w:tc>
          <w:tcPr>
            <w:tcW w:w="976" w:type="dxa"/>
            <w:tcBorders>
              <w:bottom w:val="dashed" w:sz="4" w:space="0" w:color="auto"/>
            </w:tcBorders>
          </w:tcPr>
          <w:p w14:paraId="34822B49" w14:textId="549F1771" w:rsidR="003C045B" w:rsidRPr="00556412" w:rsidRDefault="00EC4617" w:rsidP="00556412">
            <w:pPr>
              <w:spacing w:line="240" w:lineRule="atLeast"/>
              <w:jc w:val="center"/>
              <w:rPr>
                <w:rFonts w:ascii="Times New Roman" w:eastAsia="Calibri" w:hAnsi="Times New Roman" w:cs="Times New Roman"/>
                <w:sz w:val="18"/>
                <w:szCs w:val="18"/>
                <w:lang w:val="en-US"/>
              </w:rPr>
            </w:pPr>
            <w:r w:rsidRPr="00556412">
              <w:rPr>
                <w:rFonts w:ascii="Times New Roman" w:eastAsia="Calibri" w:hAnsi="Times New Roman" w:cs="Times New Roman"/>
                <w:sz w:val="18"/>
                <w:szCs w:val="18"/>
                <w:lang w:val="en-US"/>
              </w:rPr>
              <w:t>F</w:t>
            </w:r>
          </w:p>
        </w:tc>
        <w:tc>
          <w:tcPr>
            <w:tcW w:w="3150" w:type="dxa"/>
            <w:tcBorders>
              <w:bottom w:val="dashed" w:sz="4" w:space="0" w:color="auto"/>
            </w:tcBorders>
          </w:tcPr>
          <w:p w14:paraId="00C351E9" w14:textId="2CE1D3DD" w:rsidR="003C045B" w:rsidRPr="00556412" w:rsidRDefault="003C045B" w:rsidP="00556412">
            <w:pPr>
              <w:spacing w:line="240" w:lineRule="atLeast"/>
              <w:rPr>
                <w:rFonts w:ascii="Times New Roman" w:eastAsia="Calibri" w:hAnsi="Times New Roman" w:cs="Times New Roman"/>
                <w:sz w:val="18"/>
                <w:szCs w:val="18"/>
                <w:lang w:val="en-US"/>
              </w:rPr>
            </w:pPr>
          </w:p>
        </w:tc>
      </w:tr>
      <w:tr w:rsidR="003C045B" w:rsidRPr="00556412" w14:paraId="7AB48AF4" w14:textId="77777777" w:rsidTr="003C3604">
        <w:tc>
          <w:tcPr>
            <w:tcW w:w="540" w:type="dxa"/>
          </w:tcPr>
          <w:p w14:paraId="796E7F23" w14:textId="465E4252" w:rsidR="003C045B" w:rsidRPr="00556412" w:rsidRDefault="003C045B" w:rsidP="00556412">
            <w:pPr>
              <w:spacing w:line="240" w:lineRule="atLeast"/>
              <w:jc w:val="both"/>
              <w:rPr>
                <w:rFonts w:ascii="Times New Roman" w:eastAsia="Calibri" w:hAnsi="Times New Roman" w:cs="Times New Roman"/>
                <w:sz w:val="18"/>
                <w:szCs w:val="18"/>
                <w:lang w:val="en-US"/>
              </w:rPr>
            </w:pPr>
          </w:p>
        </w:tc>
        <w:tc>
          <w:tcPr>
            <w:tcW w:w="5400" w:type="dxa"/>
          </w:tcPr>
          <w:p w14:paraId="40869E9B" w14:textId="77777777" w:rsidR="000957A0" w:rsidRPr="00556412" w:rsidRDefault="00F82F30" w:rsidP="00556412">
            <w:pPr>
              <w:spacing w:line="240" w:lineRule="atLeast"/>
              <w:jc w:val="both"/>
              <w:rPr>
                <w:rFonts w:ascii="Times New Roman" w:eastAsia="Times New Roman" w:hAnsi="Times New Roman" w:cs="Times New Roman"/>
                <w:color w:val="333333"/>
                <w:sz w:val="18"/>
                <w:szCs w:val="18"/>
              </w:rPr>
            </w:pPr>
            <w:r w:rsidRPr="00556412">
              <w:rPr>
                <w:rFonts w:ascii="Times New Roman" w:eastAsia="Times New Roman" w:hAnsi="Times New Roman" w:cs="Times New Roman"/>
                <w:color w:val="333333"/>
                <w:sz w:val="18"/>
                <w:szCs w:val="18"/>
              </w:rPr>
              <w:t xml:space="preserve"> </w:t>
            </w:r>
          </w:p>
          <w:p w14:paraId="3D9556F9" w14:textId="77777777" w:rsidR="000957A0" w:rsidRPr="00556412" w:rsidRDefault="000957A0" w:rsidP="00556412">
            <w:pPr>
              <w:spacing w:line="240" w:lineRule="atLeast"/>
              <w:jc w:val="both"/>
              <w:rPr>
                <w:rFonts w:ascii="Times New Roman" w:eastAsia="Times New Roman" w:hAnsi="Times New Roman" w:cs="Times New Roman"/>
                <w:color w:val="333333"/>
                <w:sz w:val="18"/>
                <w:szCs w:val="18"/>
              </w:rPr>
            </w:pPr>
          </w:p>
          <w:p w14:paraId="0902F358" w14:textId="077F66BF" w:rsidR="00F43298" w:rsidRPr="00556412" w:rsidRDefault="00591577" w:rsidP="00556412">
            <w:pPr>
              <w:spacing w:line="240" w:lineRule="atLeast"/>
              <w:jc w:val="both"/>
              <w:rPr>
                <w:rFonts w:ascii="Times New Roman" w:eastAsia="Times New Roman" w:hAnsi="Times New Roman" w:cs="Times New Roman"/>
                <w:sz w:val="18"/>
                <w:szCs w:val="18"/>
              </w:rPr>
            </w:pPr>
            <w:r w:rsidRPr="00556412">
              <w:rPr>
                <w:rFonts w:ascii="Times New Roman" w:eastAsia="Times New Roman" w:hAnsi="Times New Roman" w:cs="Times New Roman"/>
                <w:color w:val="333333"/>
                <w:sz w:val="18"/>
                <w:szCs w:val="18"/>
              </w:rPr>
              <w:t xml:space="preserve">4.   </w:t>
            </w:r>
            <w:r w:rsidR="00F43298" w:rsidRPr="00556412">
              <w:rPr>
                <w:rFonts w:ascii="Times New Roman" w:eastAsia="Times New Roman" w:hAnsi="Times New Roman" w:cs="Times New Roman"/>
                <w:sz w:val="18"/>
                <w:szCs w:val="18"/>
              </w:rPr>
              <w:t>Paragrafët 1 dhe 2 nuk zbatohen në rastet kur një vendim paraprak ndërkufitar ka të bëjë ekskluzivisht dhe përfshin vetëm çështjet tatimore të një ose më shumë personave fizikë, me përjashtim të rasteve kur një vendim i tillë është lëshuar, ndryshuar ose rinovuar pas datës 1 janar 2026 dhe kur:</w:t>
            </w:r>
          </w:p>
          <w:p w14:paraId="4E4750D7" w14:textId="77777777" w:rsidR="00A030DE" w:rsidRPr="00556412" w:rsidRDefault="00A030DE" w:rsidP="00556412">
            <w:pPr>
              <w:spacing w:before="100" w:beforeAutospacing="1" w:after="100" w:afterAutospacing="1" w:line="240" w:lineRule="atLeast"/>
              <w:jc w:val="both"/>
              <w:rPr>
                <w:rFonts w:ascii="Times New Roman" w:eastAsia="Times New Roman" w:hAnsi="Times New Roman" w:cs="Times New Roman"/>
                <w:sz w:val="18"/>
                <w:szCs w:val="18"/>
              </w:rPr>
            </w:pPr>
            <w:r w:rsidRPr="00556412">
              <w:rPr>
                <w:rFonts w:ascii="Times New Roman" w:eastAsia="Times New Roman" w:hAnsi="Times New Roman" w:cs="Times New Roman"/>
                <w:bCs/>
                <w:sz w:val="18"/>
                <w:szCs w:val="18"/>
              </w:rPr>
              <w:t>a)</w:t>
            </w:r>
            <w:r w:rsidRPr="00556412">
              <w:rPr>
                <w:rFonts w:ascii="Times New Roman" w:eastAsia="Times New Roman" w:hAnsi="Times New Roman" w:cs="Times New Roman"/>
                <w:sz w:val="18"/>
                <w:szCs w:val="18"/>
              </w:rPr>
              <w:t xml:space="preserve"> shuma e transaksionit ose e serisë së transaksioneve të vendimit paraprak ndërkufitar tejkalon 1 500 000 EUR (ose ekuivalentin në çdo monedhë tjetër), nëse kjo shumë është e përcaktuar në vendimin paraprak ndërkufitar; ose</w:t>
            </w:r>
          </w:p>
          <w:p w14:paraId="075249C4" w14:textId="6478CC74" w:rsidR="00A030DE" w:rsidRPr="00556412" w:rsidRDefault="00A030DE" w:rsidP="00556412">
            <w:pPr>
              <w:spacing w:before="100" w:beforeAutospacing="1" w:after="100" w:afterAutospacing="1" w:line="240" w:lineRule="atLeast"/>
              <w:jc w:val="both"/>
              <w:rPr>
                <w:rFonts w:ascii="Times New Roman" w:eastAsia="Times New Roman" w:hAnsi="Times New Roman" w:cs="Times New Roman"/>
                <w:sz w:val="18"/>
                <w:szCs w:val="18"/>
              </w:rPr>
            </w:pPr>
            <w:r w:rsidRPr="00556412">
              <w:rPr>
                <w:rFonts w:ascii="Times New Roman" w:eastAsia="Times New Roman" w:hAnsi="Times New Roman" w:cs="Times New Roman"/>
                <w:bCs/>
                <w:sz w:val="18"/>
                <w:szCs w:val="18"/>
              </w:rPr>
              <w:t>(b)</w:t>
            </w:r>
            <w:r w:rsidRPr="00556412">
              <w:rPr>
                <w:rFonts w:ascii="Times New Roman" w:eastAsia="Times New Roman" w:hAnsi="Times New Roman" w:cs="Times New Roman"/>
                <w:sz w:val="18"/>
                <w:szCs w:val="18"/>
              </w:rPr>
              <w:t xml:space="preserve"> vendimi paraprak ndërkufitar përcakton nëse një person është ose jo rezident për qëllime tatimore në shtetin anëtar që lëshon vendimin.</w:t>
            </w:r>
          </w:p>
          <w:p w14:paraId="2F313929" w14:textId="2518D029" w:rsidR="00A030DE" w:rsidRPr="00556412" w:rsidRDefault="00A030DE" w:rsidP="00556412">
            <w:pPr>
              <w:spacing w:before="100" w:beforeAutospacing="1" w:after="100" w:afterAutospacing="1" w:line="240" w:lineRule="atLeast"/>
              <w:jc w:val="both"/>
              <w:rPr>
                <w:rFonts w:ascii="Times New Roman" w:eastAsia="Times New Roman" w:hAnsi="Times New Roman" w:cs="Times New Roman"/>
                <w:sz w:val="18"/>
                <w:szCs w:val="18"/>
              </w:rPr>
            </w:pPr>
            <w:r w:rsidRPr="00556412">
              <w:rPr>
                <w:rFonts w:ascii="Times New Roman" w:eastAsia="Times New Roman" w:hAnsi="Times New Roman" w:cs="Times New Roman"/>
                <w:bCs/>
                <w:sz w:val="18"/>
                <w:szCs w:val="18"/>
              </w:rPr>
              <w:t>Për qëllimet e nënparagrafit të parë, pika (a), dhe pa cenuar shumën e përcaktuar në vendimin paraprak ndërkufitar, në rastin e një serie transaksionesh që lidhen me mallra, shërbime ose asete të ndryshme, shuma e vendimit paraprak ndërkufitar përfshin vlerën totale themelore. Shumat nuk agregohen nëse të njëjtat mallra, shërbime ose asete janë objekt i disa transaksioneve.</w:t>
            </w:r>
          </w:p>
          <w:p w14:paraId="0E6A9CF5" w14:textId="77777777" w:rsidR="00A030DE" w:rsidRPr="00556412" w:rsidRDefault="00A030DE" w:rsidP="00556412">
            <w:pPr>
              <w:spacing w:before="100" w:beforeAutospacing="1" w:after="100" w:afterAutospacing="1" w:line="240" w:lineRule="atLeast"/>
              <w:jc w:val="both"/>
              <w:rPr>
                <w:rFonts w:ascii="Times New Roman" w:eastAsia="Times New Roman" w:hAnsi="Times New Roman" w:cs="Times New Roman"/>
                <w:sz w:val="18"/>
                <w:szCs w:val="18"/>
              </w:rPr>
            </w:pPr>
            <w:r w:rsidRPr="00556412">
              <w:rPr>
                <w:rFonts w:ascii="Times New Roman" w:eastAsia="Times New Roman" w:hAnsi="Times New Roman" w:cs="Times New Roman"/>
                <w:bCs/>
                <w:sz w:val="18"/>
                <w:szCs w:val="18"/>
              </w:rPr>
              <w:t>Pavarësisht nga nënparagrafi i parë, pika (b), shkëmbimi i informacionit për vendimet paraprake ndërkufitare që lidhen me personat fizikë nuk përfshin vendime të tilla në lidhje me tatimin në burim për të ardhurat e jorezidentëve nga punësimi, shpërblimet e administratorëve ose pensionet.</w:t>
            </w:r>
          </w:p>
          <w:p w14:paraId="1F105BED" w14:textId="68A84A2F" w:rsidR="003C045B" w:rsidRPr="00556412" w:rsidRDefault="003C045B" w:rsidP="00556412">
            <w:pPr>
              <w:shd w:val="clear" w:color="auto" w:fill="FFFFFF"/>
              <w:spacing w:before="120" w:line="240" w:lineRule="atLeast"/>
              <w:jc w:val="both"/>
              <w:rPr>
                <w:rFonts w:ascii="Times New Roman" w:eastAsia="Calibri" w:hAnsi="Times New Roman" w:cs="Times New Roman"/>
                <w:iCs/>
                <w:sz w:val="18"/>
                <w:szCs w:val="18"/>
              </w:rPr>
            </w:pPr>
          </w:p>
        </w:tc>
        <w:tc>
          <w:tcPr>
            <w:tcW w:w="540" w:type="dxa"/>
          </w:tcPr>
          <w:p w14:paraId="3E152E78" w14:textId="127DB0ED" w:rsidR="003C045B" w:rsidRPr="00556412" w:rsidRDefault="003C045B" w:rsidP="00556412">
            <w:pPr>
              <w:spacing w:line="240" w:lineRule="atLeast"/>
              <w:jc w:val="center"/>
              <w:rPr>
                <w:rFonts w:ascii="Times New Roman" w:eastAsia="Calibri" w:hAnsi="Times New Roman" w:cs="Times New Roman"/>
                <w:sz w:val="18"/>
                <w:szCs w:val="18"/>
              </w:rPr>
            </w:pPr>
          </w:p>
        </w:tc>
        <w:tc>
          <w:tcPr>
            <w:tcW w:w="630" w:type="dxa"/>
          </w:tcPr>
          <w:p w14:paraId="323529D4" w14:textId="77777777" w:rsidR="000957A0" w:rsidRPr="00556412" w:rsidRDefault="000957A0" w:rsidP="00556412">
            <w:pPr>
              <w:spacing w:line="240" w:lineRule="atLeast"/>
              <w:jc w:val="center"/>
              <w:rPr>
                <w:rFonts w:ascii="Times New Roman" w:eastAsia="Calibri" w:hAnsi="Times New Roman" w:cs="Times New Roman"/>
                <w:sz w:val="18"/>
                <w:szCs w:val="18"/>
              </w:rPr>
            </w:pPr>
          </w:p>
          <w:p w14:paraId="5872416A" w14:textId="77777777" w:rsidR="000957A0" w:rsidRPr="00556412" w:rsidRDefault="000957A0" w:rsidP="00556412">
            <w:pPr>
              <w:spacing w:line="240" w:lineRule="atLeast"/>
              <w:jc w:val="center"/>
              <w:rPr>
                <w:rFonts w:ascii="Times New Roman" w:eastAsia="Calibri" w:hAnsi="Times New Roman" w:cs="Times New Roman"/>
                <w:sz w:val="18"/>
                <w:szCs w:val="18"/>
              </w:rPr>
            </w:pPr>
          </w:p>
          <w:p w14:paraId="063AF971" w14:textId="77777777" w:rsidR="000957A0" w:rsidRPr="00556412" w:rsidRDefault="000957A0" w:rsidP="00556412">
            <w:pPr>
              <w:spacing w:line="240" w:lineRule="atLeast"/>
              <w:jc w:val="center"/>
              <w:rPr>
                <w:rFonts w:ascii="Times New Roman" w:eastAsia="Calibri" w:hAnsi="Times New Roman" w:cs="Times New Roman"/>
                <w:sz w:val="18"/>
                <w:szCs w:val="18"/>
              </w:rPr>
            </w:pPr>
          </w:p>
          <w:p w14:paraId="27DB16A1" w14:textId="77777777" w:rsidR="00AB5C28" w:rsidRPr="00556412" w:rsidRDefault="00AB5C28" w:rsidP="00556412">
            <w:pPr>
              <w:spacing w:line="240" w:lineRule="atLeast"/>
              <w:jc w:val="center"/>
              <w:rPr>
                <w:rFonts w:ascii="Times New Roman" w:eastAsia="Calibri" w:hAnsi="Times New Roman" w:cs="Times New Roman"/>
                <w:sz w:val="18"/>
                <w:szCs w:val="18"/>
              </w:rPr>
            </w:pPr>
          </w:p>
          <w:p w14:paraId="0152B602" w14:textId="1D001966" w:rsidR="003C045B" w:rsidRPr="00556412" w:rsidRDefault="00F43298" w:rsidP="00556412">
            <w:pPr>
              <w:spacing w:line="240" w:lineRule="atLeast"/>
              <w:jc w:val="center"/>
              <w:rPr>
                <w:rFonts w:ascii="Times New Roman" w:eastAsia="Calibri" w:hAnsi="Times New Roman" w:cs="Times New Roman"/>
                <w:sz w:val="18"/>
                <w:szCs w:val="18"/>
                <w:lang w:val="en-US"/>
              </w:rPr>
            </w:pPr>
            <w:r w:rsidRPr="00556412">
              <w:rPr>
                <w:rFonts w:ascii="Times New Roman" w:eastAsia="Calibri" w:hAnsi="Times New Roman" w:cs="Times New Roman"/>
                <w:sz w:val="18"/>
                <w:szCs w:val="18"/>
                <w:lang w:val="en-US"/>
              </w:rPr>
              <w:t>Neni</w:t>
            </w:r>
            <w:r w:rsidR="00EC4617" w:rsidRPr="00556412">
              <w:rPr>
                <w:rFonts w:ascii="Times New Roman" w:eastAsia="Calibri" w:hAnsi="Times New Roman" w:cs="Times New Roman"/>
                <w:sz w:val="18"/>
                <w:szCs w:val="18"/>
                <w:lang w:val="en-US"/>
              </w:rPr>
              <w:t xml:space="preserve"> 4 </w:t>
            </w:r>
          </w:p>
        </w:tc>
        <w:tc>
          <w:tcPr>
            <w:tcW w:w="4964" w:type="dxa"/>
          </w:tcPr>
          <w:p w14:paraId="5DA75A0D" w14:textId="77777777" w:rsidR="00BC5DCD" w:rsidRPr="00556412" w:rsidRDefault="00BC5DCD" w:rsidP="00556412">
            <w:pPr>
              <w:spacing w:line="240" w:lineRule="atLeast"/>
              <w:jc w:val="center"/>
              <w:rPr>
                <w:rFonts w:ascii="Times New Roman" w:hAnsi="Times New Roman" w:cs="Times New Roman"/>
                <w:color w:val="000000" w:themeColor="text1"/>
                <w:sz w:val="18"/>
                <w:szCs w:val="18"/>
              </w:rPr>
            </w:pPr>
          </w:p>
          <w:p w14:paraId="4822A302" w14:textId="1F8028B0" w:rsidR="00780F53" w:rsidRPr="00556412" w:rsidRDefault="00780F53" w:rsidP="00556412">
            <w:pPr>
              <w:spacing w:line="240" w:lineRule="atLeast"/>
              <w:jc w:val="center"/>
              <w:rPr>
                <w:rFonts w:ascii="Times New Roman" w:hAnsi="Times New Roman" w:cs="Times New Roman"/>
                <w:b/>
                <w:color w:val="000000" w:themeColor="text1"/>
                <w:sz w:val="18"/>
                <w:szCs w:val="18"/>
              </w:rPr>
            </w:pPr>
          </w:p>
          <w:p w14:paraId="12A5AA1A" w14:textId="787B69D4" w:rsidR="000957A0" w:rsidRPr="00556412" w:rsidRDefault="000957A0" w:rsidP="00556412">
            <w:pPr>
              <w:spacing w:line="240" w:lineRule="atLeast"/>
              <w:jc w:val="center"/>
              <w:rPr>
                <w:rFonts w:ascii="Times New Roman" w:hAnsi="Times New Roman" w:cs="Times New Roman"/>
                <w:b/>
                <w:color w:val="000000" w:themeColor="text1"/>
                <w:sz w:val="18"/>
                <w:szCs w:val="18"/>
              </w:rPr>
            </w:pPr>
          </w:p>
          <w:p w14:paraId="3197E7AC" w14:textId="77777777" w:rsidR="000957A0" w:rsidRPr="00556412" w:rsidRDefault="000957A0" w:rsidP="00556412">
            <w:pPr>
              <w:spacing w:line="240" w:lineRule="atLeast"/>
              <w:jc w:val="center"/>
              <w:rPr>
                <w:rFonts w:ascii="Times New Roman" w:hAnsi="Times New Roman" w:cs="Times New Roman"/>
                <w:b/>
                <w:color w:val="000000" w:themeColor="text1"/>
                <w:sz w:val="18"/>
                <w:szCs w:val="18"/>
              </w:rPr>
            </w:pPr>
          </w:p>
          <w:p w14:paraId="4A3671F4" w14:textId="77777777" w:rsidR="00B84C5E" w:rsidRPr="00556412" w:rsidRDefault="00B84C5E" w:rsidP="00556412">
            <w:pPr>
              <w:spacing w:line="240" w:lineRule="atLeast"/>
              <w:jc w:val="center"/>
              <w:rPr>
                <w:rFonts w:ascii="Times New Roman" w:hAnsi="Times New Roman" w:cs="Times New Roman"/>
                <w:b/>
                <w:color w:val="000000" w:themeColor="text1"/>
                <w:sz w:val="18"/>
                <w:szCs w:val="18"/>
              </w:rPr>
            </w:pPr>
            <w:r w:rsidRPr="00556412">
              <w:rPr>
                <w:rFonts w:ascii="Times New Roman" w:hAnsi="Times New Roman" w:cs="Times New Roman"/>
                <w:b/>
                <w:color w:val="000000" w:themeColor="text1"/>
                <w:sz w:val="18"/>
                <w:szCs w:val="18"/>
              </w:rPr>
              <w:t>Neni 4</w:t>
            </w:r>
          </w:p>
          <w:p w14:paraId="25BE7755" w14:textId="3A84A861" w:rsidR="00B84C5E" w:rsidRPr="00556412" w:rsidRDefault="00B84C5E" w:rsidP="00556412">
            <w:pPr>
              <w:spacing w:line="240" w:lineRule="atLeast"/>
              <w:jc w:val="center"/>
              <w:rPr>
                <w:rFonts w:ascii="Times New Roman" w:hAnsi="Times New Roman" w:cs="Times New Roman"/>
                <w:b/>
                <w:color w:val="000000" w:themeColor="text1"/>
                <w:sz w:val="18"/>
                <w:szCs w:val="18"/>
              </w:rPr>
            </w:pPr>
            <w:r w:rsidRPr="00556412">
              <w:rPr>
                <w:rFonts w:ascii="Times New Roman" w:hAnsi="Times New Roman" w:cs="Times New Roman"/>
                <w:b/>
                <w:color w:val="000000" w:themeColor="text1"/>
                <w:sz w:val="18"/>
                <w:szCs w:val="18"/>
              </w:rPr>
              <w:t>Rregulli i veçantë për vendimet në lidhje me personat fizikë</w:t>
            </w:r>
          </w:p>
          <w:p w14:paraId="0E3C6011" w14:textId="77777777" w:rsidR="00B84C5E" w:rsidRPr="00556412" w:rsidRDefault="00B84C5E" w:rsidP="00556412">
            <w:pPr>
              <w:spacing w:line="240" w:lineRule="atLeast"/>
              <w:jc w:val="center"/>
              <w:rPr>
                <w:rFonts w:ascii="Times New Roman" w:hAnsi="Times New Roman" w:cs="Times New Roman"/>
                <w:b/>
                <w:color w:val="000000" w:themeColor="text1"/>
                <w:sz w:val="18"/>
                <w:szCs w:val="18"/>
              </w:rPr>
            </w:pPr>
          </w:p>
          <w:p w14:paraId="09BBFF37" w14:textId="380F8B61" w:rsidR="00B84C5E" w:rsidRPr="00556412" w:rsidRDefault="00B84C5E" w:rsidP="00556412">
            <w:pPr>
              <w:spacing w:line="240" w:lineRule="atLeast"/>
              <w:jc w:val="both"/>
              <w:rPr>
                <w:rFonts w:ascii="Times New Roman" w:hAnsi="Times New Roman" w:cs="Times New Roman"/>
                <w:color w:val="000000" w:themeColor="text1"/>
                <w:sz w:val="18"/>
                <w:szCs w:val="18"/>
              </w:rPr>
            </w:pPr>
            <w:r w:rsidRPr="00556412">
              <w:rPr>
                <w:rFonts w:ascii="Times New Roman" w:hAnsi="Times New Roman" w:cs="Times New Roman"/>
                <w:color w:val="000000" w:themeColor="text1"/>
                <w:sz w:val="18"/>
                <w:szCs w:val="18"/>
              </w:rPr>
              <w:t>1.</w:t>
            </w:r>
            <w:r w:rsidR="000957A0" w:rsidRPr="00556412">
              <w:rPr>
                <w:rFonts w:ascii="Times New Roman" w:hAnsi="Times New Roman" w:cs="Times New Roman"/>
                <w:color w:val="000000" w:themeColor="text1"/>
                <w:sz w:val="18"/>
                <w:szCs w:val="18"/>
              </w:rPr>
              <w:t xml:space="preserve"> </w:t>
            </w:r>
            <w:r w:rsidRPr="00556412">
              <w:rPr>
                <w:rFonts w:ascii="Times New Roman" w:hAnsi="Times New Roman" w:cs="Times New Roman"/>
                <w:color w:val="000000" w:themeColor="text1"/>
                <w:sz w:val="18"/>
                <w:szCs w:val="18"/>
              </w:rPr>
              <w:t>Në përjashtim nga rregulli i përgjithshëm, shkëmbimi automatik i informacionit për vendimet paraprake ndërkufitare që lidhen me personat fizikë kryhet vetëm në rastet kur vendimi ka një ndikim të konsiderueshëm ndërkufitar.</w:t>
            </w:r>
            <w:r w:rsidR="001341BF" w:rsidRPr="00556412">
              <w:rPr>
                <w:rFonts w:ascii="Times New Roman" w:hAnsi="Times New Roman" w:cs="Times New Roman"/>
                <w:color w:val="000000" w:themeColor="text1"/>
                <w:sz w:val="18"/>
                <w:szCs w:val="18"/>
              </w:rPr>
              <w:t xml:space="preserve"> </w:t>
            </w:r>
            <w:r w:rsidRPr="00556412">
              <w:rPr>
                <w:rFonts w:ascii="Times New Roman" w:hAnsi="Times New Roman" w:cs="Times New Roman"/>
                <w:color w:val="000000" w:themeColor="text1"/>
                <w:sz w:val="18"/>
                <w:szCs w:val="18"/>
              </w:rPr>
              <w:t xml:space="preserve">Drejtoria e Përgjithshme e Tatimeve shkëmben automatikisht informacion mbi një vendim ndërkufitar në avancë, i cili lidhet me çështjet tatimore të një ose më shumë personave fizikë, vetëm në rastet kur </w:t>
            </w:r>
            <w:r w:rsidR="001341BF" w:rsidRPr="00556412">
              <w:rPr>
                <w:rFonts w:ascii="Times New Roman" w:hAnsi="Times New Roman" w:cs="Times New Roman"/>
                <w:color w:val="000000" w:themeColor="text1"/>
                <w:sz w:val="18"/>
                <w:szCs w:val="18"/>
              </w:rPr>
              <w:t>v</w:t>
            </w:r>
            <w:r w:rsidRPr="00556412">
              <w:rPr>
                <w:rFonts w:ascii="Times New Roman" w:hAnsi="Times New Roman" w:cs="Times New Roman"/>
                <w:color w:val="000000" w:themeColor="text1"/>
                <w:sz w:val="18"/>
                <w:szCs w:val="18"/>
              </w:rPr>
              <w:t xml:space="preserve">endimi është lëshuar, ndryshuar ose rinovuar në datën 1 janar 2026 ose pas kësaj date kur plotësohet të paktën një nga kushtet e mëposhtme: </w:t>
            </w:r>
          </w:p>
          <w:p w14:paraId="67641309" w14:textId="77777777" w:rsidR="00B84C5E" w:rsidRPr="00556412" w:rsidRDefault="00B84C5E" w:rsidP="00556412">
            <w:pPr>
              <w:spacing w:line="240" w:lineRule="atLeast"/>
              <w:jc w:val="both"/>
              <w:rPr>
                <w:rFonts w:ascii="Times New Roman" w:hAnsi="Times New Roman" w:cs="Times New Roman"/>
                <w:color w:val="000000" w:themeColor="text1"/>
                <w:sz w:val="18"/>
                <w:szCs w:val="18"/>
              </w:rPr>
            </w:pPr>
            <w:r w:rsidRPr="00556412">
              <w:rPr>
                <w:rFonts w:ascii="Times New Roman" w:hAnsi="Times New Roman" w:cs="Times New Roman"/>
                <w:color w:val="000000" w:themeColor="text1"/>
                <w:sz w:val="18"/>
                <w:szCs w:val="18"/>
              </w:rPr>
              <w:t xml:space="preserve">(a) shuma e transaksionit ose e serisë së transaksioneve, objekt i vendimit, tejkalon vlerën 1 500 000 euro ose shumën ekuivalente në monedha të tjera ose në lekë; </w:t>
            </w:r>
          </w:p>
          <w:p w14:paraId="16F4BB9E" w14:textId="283DD6BF" w:rsidR="00B84C5E" w:rsidRPr="00556412" w:rsidRDefault="00B84C5E" w:rsidP="00556412">
            <w:pPr>
              <w:spacing w:line="240" w:lineRule="atLeast"/>
              <w:jc w:val="both"/>
              <w:rPr>
                <w:rFonts w:ascii="Times New Roman" w:hAnsi="Times New Roman" w:cs="Times New Roman"/>
                <w:color w:val="000000" w:themeColor="text1"/>
                <w:sz w:val="18"/>
                <w:szCs w:val="18"/>
              </w:rPr>
            </w:pPr>
            <w:r w:rsidRPr="00556412">
              <w:rPr>
                <w:rFonts w:ascii="Times New Roman" w:hAnsi="Times New Roman" w:cs="Times New Roman"/>
                <w:color w:val="000000" w:themeColor="text1"/>
                <w:sz w:val="18"/>
                <w:szCs w:val="18"/>
              </w:rPr>
              <w:t xml:space="preserve">(b) vendimi përcakton rezidencën e një personi për qëllime tatimore në Republikën e Shqipërisë. </w:t>
            </w:r>
          </w:p>
          <w:p w14:paraId="45CE57AB" w14:textId="52868755" w:rsidR="00B84C5E" w:rsidRPr="00556412" w:rsidRDefault="00B84C5E" w:rsidP="00556412">
            <w:pPr>
              <w:spacing w:line="240" w:lineRule="atLeast"/>
              <w:jc w:val="both"/>
              <w:rPr>
                <w:rFonts w:ascii="Times New Roman" w:hAnsi="Times New Roman" w:cs="Times New Roman"/>
                <w:color w:val="000000" w:themeColor="text1"/>
                <w:sz w:val="18"/>
                <w:szCs w:val="18"/>
              </w:rPr>
            </w:pPr>
            <w:r w:rsidRPr="00556412">
              <w:rPr>
                <w:rFonts w:ascii="Times New Roman" w:hAnsi="Times New Roman" w:cs="Times New Roman"/>
                <w:color w:val="000000" w:themeColor="text1"/>
                <w:sz w:val="18"/>
                <w:szCs w:val="18"/>
              </w:rPr>
              <w:t>2.</w:t>
            </w:r>
            <w:r w:rsidR="000957A0" w:rsidRPr="00556412">
              <w:rPr>
                <w:rFonts w:ascii="Times New Roman" w:hAnsi="Times New Roman" w:cs="Times New Roman"/>
                <w:color w:val="000000" w:themeColor="text1"/>
                <w:sz w:val="18"/>
                <w:szCs w:val="18"/>
              </w:rPr>
              <w:t xml:space="preserve"> </w:t>
            </w:r>
            <w:r w:rsidRPr="00556412">
              <w:rPr>
                <w:rFonts w:ascii="Times New Roman" w:hAnsi="Times New Roman" w:cs="Times New Roman"/>
                <w:color w:val="000000" w:themeColor="text1"/>
                <w:sz w:val="18"/>
                <w:szCs w:val="18"/>
              </w:rPr>
              <w:t xml:space="preserve">Për </w:t>
            </w:r>
            <w:r w:rsidR="001F55AE" w:rsidRPr="00556412">
              <w:rPr>
                <w:rFonts w:ascii="Times New Roman" w:hAnsi="Times New Roman" w:cs="Times New Roman"/>
                <w:color w:val="000000" w:themeColor="text1"/>
                <w:sz w:val="18"/>
                <w:szCs w:val="18"/>
              </w:rPr>
              <w:t>q</w:t>
            </w:r>
            <w:r w:rsidR="00CD309C">
              <w:rPr>
                <w:rFonts w:ascii="Times New Roman" w:hAnsi="Times New Roman" w:cs="Times New Roman"/>
                <w:color w:val="000000" w:themeColor="text1"/>
                <w:sz w:val="18"/>
                <w:szCs w:val="18"/>
              </w:rPr>
              <w:t>ë</w:t>
            </w:r>
            <w:r w:rsidR="001F55AE" w:rsidRPr="00556412">
              <w:rPr>
                <w:rFonts w:ascii="Times New Roman" w:hAnsi="Times New Roman" w:cs="Times New Roman"/>
                <w:color w:val="000000" w:themeColor="text1"/>
                <w:sz w:val="18"/>
                <w:szCs w:val="18"/>
              </w:rPr>
              <w:t xml:space="preserve">llimet e </w:t>
            </w:r>
            <w:r w:rsidR="005B0824" w:rsidRPr="00556412">
              <w:rPr>
                <w:rFonts w:ascii="Times New Roman" w:hAnsi="Times New Roman" w:cs="Times New Roman"/>
                <w:color w:val="000000" w:themeColor="text1"/>
                <w:sz w:val="18"/>
                <w:szCs w:val="18"/>
              </w:rPr>
              <w:t>shkronj</w:t>
            </w:r>
            <w:r w:rsidR="00CD309C">
              <w:rPr>
                <w:rFonts w:ascii="Times New Roman" w:hAnsi="Times New Roman" w:cs="Times New Roman"/>
                <w:color w:val="000000" w:themeColor="text1"/>
                <w:sz w:val="18"/>
                <w:szCs w:val="18"/>
              </w:rPr>
              <w:t>ë</w:t>
            </w:r>
            <w:r w:rsidR="001F55AE" w:rsidRPr="00556412">
              <w:rPr>
                <w:rFonts w:ascii="Times New Roman" w:hAnsi="Times New Roman" w:cs="Times New Roman"/>
                <w:color w:val="000000" w:themeColor="text1"/>
                <w:sz w:val="18"/>
                <w:szCs w:val="18"/>
              </w:rPr>
              <w:t>s</w:t>
            </w:r>
            <w:r w:rsidR="005B0824" w:rsidRPr="00556412">
              <w:rPr>
                <w:rFonts w:ascii="Times New Roman" w:hAnsi="Times New Roman" w:cs="Times New Roman"/>
                <w:color w:val="000000" w:themeColor="text1"/>
                <w:sz w:val="18"/>
                <w:szCs w:val="18"/>
              </w:rPr>
              <w:t xml:space="preserve"> a) t</w:t>
            </w:r>
            <w:r w:rsidR="00CD309C">
              <w:rPr>
                <w:rFonts w:ascii="Times New Roman" w:hAnsi="Times New Roman" w:cs="Times New Roman"/>
                <w:color w:val="000000" w:themeColor="text1"/>
                <w:sz w:val="18"/>
                <w:szCs w:val="18"/>
              </w:rPr>
              <w:t>ë</w:t>
            </w:r>
            <w:r w:rsidR="005B0824" w:rsidRPr="00556412">
              <w:rPr>
                <w:rFonts w:ascii="Times New Roman" w:hAnsi="Times New Roman" w:cs="Times New Roman"/>
                <w:color w:val="000000" w:themeColor="text1"/>
                <w:sz w:val="18"/>
                <w:szCs w:val="18"/>
              </w:rPr>
              <w:t xml:space="preserve"> pik</w:t>
            </w:r>
            <w:r w:rsidR="00CD309C">
              <w:rPr>
                <w:rFonts w:ascii="Times New Roman" w:hAnsi="Times New Roman" w:cs="Times New Roman"/>
                <w:color w:val="000000" w:themeColor="text1"/>
                <w:sz w:val="18"/>
                <w:szCs w:val="18"/>
              </w:rPr>
              <w:t>ë</w:t>
            </w:r>
            <w:r w:rsidR="005B0824" w:rsidRPr="00556412">
              <w:rPr>
                <w:rFonts w:ascii="Times New Roman" w:hAnsi="Times New Roman" w:cs="Times New Roman"/>
                <w:color w:val="000000" w:themeColor="text1"/>
                <w:sz w:val="18"/>
                <w:szCs w:val="18"/>
              </w:rPr>
              <w:t>s 1 t</w:t>
            </w:r>
            <w:r w:rsidR="00CD309C">
              <w:rPr>
                <w:rFonts w:ascii="Times New Roman" w:hAnsi="Times New Roman" w:cs="Times New Roman"/>
                <w:color w:val="000000" w:themeColor="text1"/>
                <w:sz w:val="18"/>
                <w:szCs w:val="18"/>
              </w:rPr>
              <w:t>ë</w:t>
            </w:r>
            <w:r w:rsidR="005B0824" w:rsidRPr="00556412">
              <w:rPr>
                <w:rFonts w:ascii="Times New Roman" w:hAnsi="Times New Roman" w:cs="Times New Roman"/>
                <w:color w:val="000000" w:themeColor="text1"/>
                <w:sz w:val="18"/>
                <w:szCs w:val="18"/>
              </w:rPr>
              <w:t xml:space="preserve"> k</w:t>
            </w:r>
            <w:r w:rsidR="00CD309C">
              <w:rPr>
                <w:rFonts w:ascii="Times New Roman" w:hAnsi="Times New Roman" w:cs="Times New Roman"/>
                <w:color w:val="000000" w:themeColor="text1"/>
                <w:sz w:val="18"/>
                <w:szCs w:val="18"/>
              </w:rPr>
              <w:t>ë</w:t>
            </w:r>
            <w:r w:rsidR="005B0824" w:rsidRPr="00556412">
              <w:rPr>
                <w:rFonts w:ascii="Times New Roman" w:hAnsi="Times New Roman" w:cs="Times New Roman"/>
                <w:color w:val="000000" w:themeColor="text1"/>
                <w:sz w:val="18"/>
                <w:szCs w:val="18"/>
              </w:rPr>
              <w:t xml:space="preserve">tij </w:t>
            </w:r>
            <w:r w:rsidR="00DE0617" w:rsidRPr="00556412">
              <w:rPr>
                <w:rFonts w:ascii="Times New Roman" w:hAnsi="Times New Roman" w:cs="Times New Roman"/>
                <w:color w:val="000000" w:themeColor="text1"/>
                <w:sz w:val="18"/>
                <w:szCs w:val="18"/>
              </w:rPr>
              <w:t xml:space="preserve">neni </w:t>
            </w:r>
            <w:r w:rsidRPr="00556412">
              <w:rPr>
                <w:rFonts w:ascii="Times New Roman" w:hAnsi="Times New Roman" w:cs="Times New Roman"/>
                <w:color w:val="000000" w:themeColor="text1"/>
                <w:sz w:val="18"/>
                <w:szCs w:val="18"/>
              </w:rPr>
              <w:t>dhe pa paragjykuar shumën e përmendur në vendimin paraprak ndërkufitar</w:t>
            </w:r>
            <w:r w:rsidR="001F55AE" w:rsidRPr="00556412">
              <w:rPr>
                <w:rFonts w:ascii="Times New Roman" w:hAnsi="Times New Roman" w:cs="Times New Roman"/>
                <w:color w:val="000000" w:themeColor="text1"/>
                <w:sz w:val="18"/>
                <w:szCs w:val="18"/>
              </w:rPr>
              <w:t>,m</w:t>
            </w:r>
            <w:r w:rsidRPr="00556412">
              <w:rPr>
                <w:rFonts w:ascii="Times New Roman" w:hAnsi="Times New Roman" w:cs="Times New Roman"/>
                <w:color w:val="000000" w:themeColor="text1"/>
                <w:sz w:val="18"/>
                <w:szCs w:val="18"/>
              </w:rPr>
              <w:t xml:space="preserve"> në një seri transaksionesh në lidhje me mallra, shërbime ose asete të ndryshme, shuma përfshin vlerën </w:t>
            </w:r>
            <w:r w:rsidR="004C17B0" w:rsidRPr="00556412">
              <w:rPr>
                <w:rFonts w:ascii="Times New Roman" w:hAnsi="Times New Roman" w:cs="Times New Roman"/>
                <w:color w:val="000000" w:themeColor="text1"/>
                <w:sz w:val="18"/>
                <w:szCs w:val="18"/>
              </w:rPr>
              <w:t>baz</w:t>
            </w:r>
            <w:r w:rsidR="00CD309C">
              <w:rPr>
                <w:rFonts w:ascii="Times New Roman" w:hAnsi="Times New Roman" w:cs="Times New Roman"/>
                <w:color w:val="000000" w:themeColor="text1"/>
                <w:sz w:val="18"/>
                <w:szCs w:val="18"/>
              </w:rPr>
              <w:t>ë</w:t>
            </w:r>
            <w:r w:rsidR="004C17B0" w:rsidRPr="00556412">
              <w:rPr>
                <w:rFonts w:ascii="Times New Roman" w:hAnsi="Times New Roman" w:cs="Times New Roman"/>
                <w:color w:val="000000" w:themeColor="text1"/>
                <w:sz w:val="18"/>
                <w:szCs w:val="18"/>
              </w:rPr>
              <w:t xml:space="preserve"> </w:t>
            </w:r>
            <w:r w:rsidRPr="00556412">
              <w:rPr>
                <w:rFonts w:ascii="Times New Roman" w:hAnsi="Times New Roman" w:cs="Times New Roman"/>
                <w:color w:val="000000" w:themeColor="text1"/>
                <w:sz w:val="18"/>
                <w:szCs w:val="18"/>
              </w:rPr>
              <w:t>totale  Shumat nuk do të grumbullohen nëse të njëjtat mallra, shërbime ose asete transaksionohen disa herë.</w:t>
            </w:r>
          </w:p>
          <w:p w14:paraId="60C707C5" w14:textId="7FEE6133" w:rsidR="00BC5DCD" w:rsidRPr="00556412" w:rsidRDefault="00B84C5E" w:rsidP="00556412">
            <w:pPr>
              <w:spacing w:line="240" w:lineRule="atLeast"/>
              <w:jc w:val="both"/>
              <w:rPr>
                <w:rFonts w:ascii="Times New Roman" w:hAnsi="Times New Roman" w:cs="Times New Roman"/>
                <w:color w:val="000000" w:themeColor="text1"/>
                <w:sz w:val="18"/>
                <w:szCs w:val="18"/>
              </w:rPr>
            </w:pPr>
            <w:r w:rsidRPr="00556412">
              <w:rPr>
                <w:rFonts w:ascii="Times New Roman" w:hAnsi="Times New Roman" w:cs="Times New Roman"/>
                <w:color w:val="000000" w:themeColor="text1"/>
                <w:sz w:val="18"/>
                <w:szCs w:val="18"/>
              </w:rPr>
              <w:t>3.</w:t>
            </w:r>
            <w:r w:rsidR="000957A0" w:rsidRPr="00556412">
              <w:rPr>
                <w:rFonts w:ascii="Times New Roman" w:hAnsi="Times New Roman" w:cs="Times New Roman"/>
                <w:color w:val="000000" w:themeColor="text1"/>
                <w:sz w:val="18"/>
                <w:szCs w:val="18"/>
              </w:rPr>
              <w:t xml:space="preserve"> </w:t>
            </w:r>
            <w:r w:rsidRPr="00556412">
              <w:rPr>
                <w:rFonts w:ascii="Times New Roman" w:hAnsi="Times New Roman" w:cs="Times New Roman"/>
                <w:color w:val="000000" w:themeColor="text1"/>
                <w:sz w:val="18"/>
                <w:szCs w:val="18"/>
              </w:rPr>
              <w:t>Drejtoria e Përgjithshme e Tatimeve nuk shkëmben informacion mbi vendimet në lidhje me personat fizikë</w:t>
            </w:r>
            <w:r w:rsidR="001341BF" w:rsidRPr="00556412">
              <w:rPr>
                <w:rFonts w:ascii="Times New Roman" w:hAnsi="Times New Roman" w:cs="Times New Roman"/>
                <w:color w:val="000000" w:themeColor="text1"/>
                <w:sz w:val="18"/>
                <w:szCs w:val="18"/>
              </w:rPr>
              <w:t>,</w:t>
            </w:r>
            <w:r w:rsidRPr="00556412">
              <w:rPr>
                <w:rFonts w:ascii="Times New Roman" w:hAnsi="Times New Roman" w:cs="Times New Roman"/>
                <w:color w:val="000000" w:themeColor="text1"/>
                <w:sz w:val="18"/>
                <w:szCs w:val="18"/>
              </w:rPr>
              <w:t xml:space="preserve"> nëse vendimi ka të bëjë </w:t>
            </w:r>
            <w:r w:rsidRPr="00556412">
              <w:rPr>
                <w:rFonts w:ascii="Times New Roman" w:hAnsi="Times New Roman" w:cs="Times New Roman"/>
                <w:color w:val="000000" w:themeColor="text1"/>
                <w:sz w:val="18"/>
                <w:szCs w:val="18"/>
              </w:rPr>
              <w:lastRenderedPageBreak/>
              <w:t>me tatimin në burim mbi të ardhurat e jorezidentëve nga punësimi, tarifat e drejtorëve ose pensionet.</w:t>
            </w:r>
          </w:p>
          <w:p w14:paraId="0FF9BF8D" w14:textId="613DAAE5" w:rsidR="003C045B" w:rsidRPr="00556412" w:rsidRDefault="003C045B" w:rsidP="00556412">
            <w:pPr>
              <w:spacing w:line="240" w:lineRule="atLeast"/>
              <w:rPr>
                <w:rFonts w:ascii="Times New Roman" w:hAnsi="Times New Roman" w:cs="Times New Roman"/>
                <w:color w:val="000000" w:themeColor="text1"/>
                <w:sz w:val="18"/>
                <w:szCs w:val="18"/>
              </w:rPr>
            </w:pPr>
          </w:p>
          <w:p w14:paraId="5D1D16DC" w14:textId="382AF9CE" w:rsidR="003C045B" w:rsidRPr="00556412" w:rsidRDefault="003C045B" w:rsidP="00556412">
            <w:pPr>
              <w:spacing w:line="240" w:lineRule="atLeast"/>
              <w:ind w:left="1440"/>
              <w:jc w:val="both"/>
              <w:rPr>
                <w:rFonts w:ascii="Times New Roman" w:eastAsia="Calibri" w:hAnsi="Times New Roman" w:cs="Times New Roman"/>
                <w:sz w:val="18"/>
                <w:szCs w:val="18"/>
              </w:rPr>
            </w:pPr>
          </w:p>
        </w:tc>
        <w:tc>
          <w:tcPr>
            <w:tcW w:w="976" w:type="dxa"/>
          </w:tcPr>
          <w:p w14:paraId="20779A6F" w14:textId="77777777" w:rsidR="000957A0" w:rsidRPr="00556412" w:rsidRDefault="000957A0" w:rsidP="00556412">
            <w:pPr>
              <w:spacing w:line="240" w:lineRule="atLeast"/>
              <w:jc w:val="center"/>
              <w:rPr>
                <w:rFonts w:ascii="Times New Roman" w:eastAsia="Calibri" w:hAnsi="Times New Roman" w:cs="Times New Roman"/>
                <w:sz w:val="18"/>
                <w:szCs w:val="18"/>
              </w:rPr>
            </w:pPr>
          </w:p>
          <w:p w14:paraId="0186C414" w14:textId="77777777" w:rsidR="000957A0" w:rsidRPr="00556412" w:rsidRDefault="000957A0" w:rsidP="00556412">
            <w:pPr>
              <w:spacing w:line="240" w:lineRule="atLeast"/>
              <w:jc w:val="center"/>
              <w:rPr>
                <w:rFonts w:ascii="Times New Roman" w:eastAsia="Calibri" w:hAnsi="Times New Roman" w:cs="Times New Roman"/>
                <w:sz w:val="18"/>
                <w:szCs w:val="18"/>
              </w:rPr>
            </w:pPr>
          </w:p>
          <w:p w14:paraId="30B3255F" w14:textId="77777777" w:rsidR="000957A0" w:rsidRPr="00556412" w:rsidRDefault="000957A0" w:rsidP="00556412">
            <w:pPr>
              <w:spacing w:line="240" w:lineRule="atLeast"/>
              <w:jc w:val="center"/>
              <w:rPr>
                <w:rFonts w:ascii="Times New Roman" w:eastAsia="Calibri" w:hAnsi="Times New Roman" w:cs="Times New Roman"/>
                <w:sz w:val="18"/>
                <w:szCs w:val="18"/>
              </w:rPr>
            </w:pPr>
          </w:p>
          <w:p w14:paraId="121EB597" w14:textId="77777777" w:rsidR="000957A0" w:rsidRPr="00556412" w:rsidRDefault="000957A0" w:rsidP="00556412">
            <w:pPr>
              <w:spacing w:line="240" w:lineRule="atLeast"/>
              <w:jc w:val="center"/>
              <w:rPr>
                <w:rFonts w:ascii="Times New Roman" w:eastAsia="Calibri" w:hAnsi="Times New Roman" w:cs="Times New Roman"/>
                <w:sz w:val="18"/>
                <w:szCs w:val="18"/>
              </w:rPr>
            </w:pPr>
          </w:p>
          <w:p w14:paraId="4002CF3D" w14:textId="63AD8045" w:rsidR="003C045B" w:rsidRPr="00556412" w:rsidRDefault="00EC4617" w:rsidP="00556412">
            <w:pPr>
              <w:spacing w:line="240" w:lineRule="atLeast"/>
              <w:jc w:val="center"/>
              <w:rPr>
                <w:rFonts w:ascii="Times New Roman" w:eastAsia="Calibri" w:hAnsi="Times New Roman" w:cs="Times New Roman"/>
                <w:sz w:val="18"/>
                <w:szCs w:val="18"/>
                <w:lang w:val="en-US"/>
              </w:rPr>
            </w:pPr>
            <w:r w:rsidRPr="00556412">
              <w:rPr>
                <w:rFonts w:ascii="Times New Roman" w:eastAsia="Calibri" w:hAnsi="Times New Roman" w:cs="Times New Roman"/>
                <w:sz w:val="18"/>
                <w:szCs w:val="18"/>
                <w:lang w:val="en-US"/>
              </w:rPr>
              <w:t>F</w:t>
            </w:r>
          </w:p>
        </w:tc>
        <w:tc>
          <w:tcPr>
            <w:tcW w:w="3150" w:type="dxa"/>
          </w:tcPr>
          <w:p w14:paraId="46D529E2" w14:textId="0A5763DF" w:rsidR="003C045B" w:rsidRPr="00556412" w:rsidRDefault="003C045B" w:rsidP="00556412">
            <w:pPr>
              <w:spacing w:line="240" w:lineRule="atLeast"/>
              <w:rPr>
                <w:rFonts w:ascii="Times New Roman" w:eastAsia="Calibri" w:hAnsi="Times New Roman" w:cs="Times New Roman"/>
                <w:sz w:val="18"/>
                <w:szCs w:val="18"/>
                <w:lang w:val="en-US"/>
              </w:rPr>
            </w:pPr>
          </w:p>
        </w:tc>
      </w:tr>
      <w:tr w:rsidR="003C045B" w:rsidRPr="00556412" w14:paraId="26A635EE" w14:textId="77777777" w:rsidTr="003C3604">
        <w:trPr>
          <w:trHeight w:val="1875"/>
        </w:trPr>
        <w:tc>
          <w:tcPr>
            <w:tcW w:w="540" w:type="dxa"/>
          </w:tcPr>
          <w:p w14:paraId="37347107" w14:textId="4D5D7C68" w:rsidR="003C045B" w:rsidRPr="00556412" w:rsidRDefault="003C045B" w:rsidP="00556412">
            <w:pPr>
              <w:spacing w:line="240" w:lineRule="atLeast"/>
              <w:jc w:val="both"/>
              <w:rPr>
                <w:rFonts w:ascii="Times New Roman" w:eastAsia="Calibri" w:hAnsi="Times New Roman" w:cs="Times New Roman"/>
                <w:sz w:val="18"/>
                <w:szCs w:val="18"/>
                <w:lang w:val="en-US"/>
              </w:rPr>
            </w:pPr>
          </w:p>
        </w:tc>
        <w:tc>
          <w:tcPr>
            <w:tcW w:w="5400" w:type="dxa"/>
          </w:tcPr>
          <w:p w14:paraId="28CD2632" w14:textId="622023D9" w:rsidR="00A030DE" w:rsidRPr="00556412" w:rsidRDefault="002511E0" w:rsidP="00556412">
            <w:pPr>
              <w:pStyle w:val="NormalWeb"/>
              <w:spacing w:line="240" w:lineRule="atLeast"/>
              <w:jc w:val="both"/>
              <w:rPr>
                <w:rFonts w:eastAsia="Times New Roman"/>
                <w:sz w:val="18"/>
                <w:szCs w:val="18"/>
                <w:lang w:val="it-CH"/>
              </w:rPr>
            </w:pPr>
            <w:r w:rsidRPr="00556412">
              <w:rPr>
                <w:rFonts w:eastAsia="Calibri"/>
                <w:iCs/>
                <w:sz w:val="18"/>
                <w:szCs w:val="18"/>
              </w:rPr>
              <w:t xml:space="preserve">5. </w:t>
            </w:r>
            <w:r w:rsidR="00A030DE" w:rsidRPr="00556412">
              <w:rPr>
                <w:rFonts w:eastAsia="Times New Roman"/>
                <w:bCs/>
                <w:sz w:val="18"/>
                <w:szCs w:val="18"/>
                <w:lang w:val="it-CH"/>
              </w:rPr>
              <w:t>Shkëmbimi i informacionit kryhet si më poshtë</w:t>
            </w:r>
            <w:r w:rsidR="00A030DE" w:rsidRPr="00556412">
              <w:rPr>
                <w:rFonts w:eastAsia="Times New Roman"/>
                <w:b/>
                <w:bCs/>
                <w:sz w:val="18"/>
                <w:szCs w:val="18"/>
                <w:lang w:val="it-CH"/>
              </w:rPr>
              <w:t>:</w:t>
            </w:r>
          </w:p>
          <w:p w14:paraId="1A326F26" w14:textId="77777777" w:rsidR="00A030DE" w:rsidRPr="00556412" w:rsidRDefault="00A030DE" w:rsidP="00556412">
            <w:pPr>
              <w:spacing w:before="100" w:beforeAutospacing="1" w:after="100" w:afterAutospacing="1" w:line="240" w:lineRule="atLeast"/>
              <w:jc w:val="both"/>
              <w:rPr>
                <w:rFonts w:ascii="Times New Roman" w:eastAsia="Times New Roman" w:hAnsi="Times New Roman" w:cs="Times New Roman"/>
                <w:sz w:val="18"/>
                <w:szCs w:val="18"/>
              </w:rPr>
            </w:pPr>
            <w:r w:rsidRPr="00556412">
              <w:rPr>
                <w:rFonts w:ascii="Times New Roman" w:eastAsia="Times New Roman" w:hAnsi="Times New Roman" w:cs="Times New Roman"/>
                <w:b/>
                <w:bCs/>
                <w:sz w:val="18"/>
                <w:szCs w:val="18"/>
              </w:rPr>
              <w:t>(</w:t>
            </w:r>
            <w:r w:rsidRPr="00556412">
              <w:rPr>
                <w:rFonts w:ascii="Times New Roman" w:eastAsia="Times New Roman" w:hAnsi="Times New Roman" w:cs="Times New Roman"/>
                <w:bCs/>
                <w:sz w:val="18"/>
                <w:szCs w:val="18"/>
              </w:rPr>
              <w:t>a)</w:t>
            </w:r>
            <w:r w:rsidRPr="00556412">
              <w:rPr>
                <w:rFonts w:ascii="Times New Roman" w:eastAsia="Times New Roman" w:hAnsi="Times New Roman" w:cs="Times New Roman"/>
                <w:sz w:val="18"/>
                <w:szCs w:val="18"/>
              </w:rPr>
              <w:t xml:space="preserve"> për sa i përket informacionit të shkëmbyer në përputhje me paragrafin 1 – pa vonesë pas lëshimit, ndryshimit ose rinovimit të vendimeve paraprake ndërkufitare ose të marrëveshjeve paraprake për çmimin dhe, në çdo rast, jo më vonë se tre muaj pas përfundimit të gjysmës së vitit kalendarik gjatë së cilës janë lëshuar, ndryshuar ose rinovuar këto vendime ose marrëveshje;</w:t>
            </w:r>
          </w:p>
          <w:p w14:paraId="4927D88F" w14:textId="7058D00D" w:rsidR="00A030DE" w:rsidRPr="00556412" w:rsidRDefault="00A030DE" w:rsidP="00556412">
            <w:pPr>
              <w:spacing w:before="100" w:beforeAutospacing="1" w:after="100" w:afterAutospacing="1" w:line="240" w:lineRule="atLeast"/>
              <w:jc w:val="both"/>
              <w:rPr>
                <w:rFonts w:ascii="Times New Roman" w:eastAsia="Times New Roman" w:hAnsi="Times New Roman" w:cs="Times New Roman"/>
                <w:sz w:val="18"/>
                <w:szCs w:val="18"/>
              </w:rPr>
            </w:pPr>
            <w:r w:rsidRPr="00556412">
              <w:rPr>
                <w:rFonts w:ascii="Times New Roman" w:eastAsia="Times New Roman" w:hAnsi="Times New Roman" w:cs="Times New Roman"/>
                <w:bCs/>
                <w:sz w:val="18"/>
                <w:szCs w:val="18"/>
              </w:rPr>
              <w:t>(b)</w:t>
            </w:r>
            <w:r w:rsidRPr="00556412">
              <w:rPr>
                <w:rFonts w:ascii="Times New Roman" w:eastAsia="Times New Roman" w:hAnsi="Times New Roman" w:cs="Times New Roman"/>
                <w:sz w:val="18"/>
                <w:szCs w:val="18"/>
              </w:rPr>
              <w:t xml:space="preserve"> për sa i përket informacionit të shkëmbyer në përputhje me paragrafin 2 – përpara datës 1 janar 2018.</w:t>
            </w:r>
          </w:p>
          <w:p w14:paraId="4BF05EC2" w14:textId="20FE8B15" w:rsidR="00A030DE" w:rsidRPr="00556412" w:rsidRDefault="002511E0" w:rsidP="00556412">
            <w:pPr>
              <w:shd w:val="clear" w:color="auto" w:fill="FFFFFF"/>
              <w:spacing w:before="120" w:line="240" w:lineRule="atLeast"/>
              <w:jc w:val="both"/>
              <w:rPr>
                <w:rFonts w:ascii="Times New Roman" w:eastAsia="Calibri" w:hAnsi="Times New Roman" w:cs="Times New Roman"/>
                <w:iCs/>
                <w:sz w:val="18"/>
                <w:szCs w:val="18"/>
              </w:rPr>
            </w:pPr>
            <w:r w:rsidRPr="00556412">
              <w:rPr>
                <w:rFonts w:ascii="Times New Roman" w:eastAsia="Calibri" w:hAnsi="Times New Roman" w:cs="Times New Roman"/>
                <w:iCs/>
                <w:sz w:val="18"/>
                <w:szCs w:val="18"/>
              </w:rPr>
              <w:t xml:space="preserve">  </w:t>
            </w:r>
          </w:p>
          <w:p w14:paraId="02F6F541" w14:textId="03DB6941" w:rsidR="003C045B" w:rsidRPr="00556412" w:rsidRDefault="003C045B" w:rsidP="00556412">
            <w:pPr>
              <w:shd w:val="clear" w:color="auto" w:fill="FFFFFF"/>
              <w:spacing w:before="120" w:line="240" w:lineRule="atLeast"/>
              <w:jc w:val="both"/>
              <w:rPr>
                <w:rFonts w:ascii="Times New Roman" w:eastAsia="Calibri" w:hAnsi="Times New Roman" w:cs="Times New Roman"/>
                <w:iCs/>
                <w:sz w:val="18"/>
                <w:szCs w:val="18"/>
              </w:rPr>
            </w:pPr>
          </w:p>
        </w:tc>
        <w:tc>
          <w:tcPr>
            <w:tcW w:w="540" w:type="dxa"/>
          </w:tcPr>
          <w:p w14:paraId="4490F7F0" w14:textId="5E59336E" w:rsidR="003C045B" w:rsidRPr="00556412" w:rsidRDefault="003C045B" w:rsidP="00556412">
            <w:pPr>
              <w:spacing w:line="240" w:lineRule="atLeast"/>
              <w:jc w:val="center"/>
              <w:rPr>
                <w:rFonts w:ascii="Times New Roman" w:eastAsia="Calibri" w:hAnsi="Times New Roman" w:cs="Times New Roman"/>
                <w:sz w:val="18"/>
                <w:szCs w:val="18"/>
              </w:rPr>
            </w:pPr>
          </w:p>
        </w:tc>
        <w:tc>
          <w:tcPr>
            <w:tcW w:w="630" w:type="dxa"/>
          </w:tcPr>
          <w:p w14:paraId="3A291DFE" w14:textId="3F292DD5" w:rsidR="003C045B" w:rsidRPr="00556412" w:rsidRDefault="00F43298" w:rsidP="00556412">
            <w:pPr>
              <w:spacing w:line="240" w:lineRule="atLeast"/>
              <w:jc w:val="center"/>
              <w:rPr>
                <w:rFonts w:ascii="Times New Roman" w:eastAsia="Calibri" w:hAnsi="Times New Roman" w:cs="Times New Roman"/>
                <w:sz w:val="18"/>
                <w:szCs w:val="18"/>
                <w:lang w:val="en-US"/>
              </w:rPr>
            </w:pPr>
            <w:r w:rsidRPr="00556412">
              <w:rPr>
                <w:rFonts w:ascii="Times New Roman" w:eastAsia="Calibri" w:hAnsi="Times New Roman" w:cs="Times New Roman"/>
                <w:sz w:val="18"/>
                <w:szCs w:val="18"/>
                <w:lang w:val="en-US"/>
              </w:rPr>
              <w:t>Neni</w:t>
            </w:r>
            <w:r w:rsidR="00A030DE" w:rsidRPr="00556412">
              <w:rPr>
                <w:rFonts w:ascii="Times New Roman" w:eastAsia="Calibri" w:hAnsi="Times New Roman" w:cs="Times New Roman"/>
                <w:sz w:val="18"/>
                <w:szCs w:val="18"/>
                <w:lang w:val="en-US"/>
              </w:rPr>
              <w:t xml:space="preserve"> </w:t>
            </w:r>
            <w:r w:rsidR="00EC4617" w:rsidRPr="00556412">
              <w:rPr>
                <w:rFonts w:ascii="Times New Roman" w:eastAsia="Calibri" w:hAnsi="Times New Roman" w:cs="Times New Roman"/>
                <w:sz w:val="18"/>
                <w:szCs w:val="18"/>
                <w:lang w:val="en-US"/>
              </w:rPr>
              <w:t>5</w:t>
            </w:r>
          </w:p>
        </w:tc>
        <w:tc>
          <w:tcPr>
            <w:tcW w:w="4964" w:type="dxa"/>
            <w:tcBorders>
              <w:bottom w:val="dashed" w:sz="4" w:space="0" w:color="auto"/>
            </w:tcBorders>
          </w:tcPr>
          <w:p w14:paraId="0CB73965" w14:textId="77777777" w:rsidR="003C045B" w:rsidRPr="00556412" w:rsidRDefault="003C045B" w:rsidP="00556412">
            <w:pPr>
              <w:spacing w:line="240" w:lineRule="atLeast"/>
              <w:jc w:val="center"/>
              <w:rPr>
                <w:rFonts w:ascii="Times New Roman" w:eastAsia="Times New Roman" w:hAnsi="Times New Roman" w:cs="Times New Roman"/>
                <w:sz w:val="18"/>
                <w:szCs w:val="18"/>
                <w:lang w:eastAsia="sq-AL"/>
              </w:rPr>
            </w:pPr>
          </w:p>
          <w:p w14:paraId="0FFE94FA" w14:textId="77777777" w:rsidR="00E336AC" w:rsidRPr="00556412" w:rsidRDefault="00E336AC" w:rsidP="00556412">
            <w:pPr>
              <w:spacing w:line="240" w:lineRule="atLeast"/>
              <w:jc w:val="center"/>
              <w:rPr>
                <w:rFonts w:ascii="Times New Roman" w:eastAsia="Calibri" w:hAnsi="Times New Roman" w:cs="Times New Roman"/>
                <w:b/>
                <w:sz w:val="18"/>
                <w:szCs w:val="18"/>
              </w:rPr>
            </w:pPr>
            <w:r w:rsidRPr="00556412">
              <w:rPr>
                <w:rFonts w:ascii="Times New Roman" w:eastAsia="Calibri" w:hAnsi="Times New Roman" w:cs="Times New Roman"/>
                <w:b/>
                <w:sz w:val="18"/>
                <w:szCs w:val="18"/>
              </w:rPr>
              <w:t>Neni 5</w:t>
            </w:r>
          </w:p>
          <w:p w14:paraId="34A60107" w14:textId="77777777" w:rsidR="00E336AC" w:rsidRPr="00556412" w:rsidRDefault="00E336AC" w:rsidP="00556412">
            <w:pPr>
              <w:spacing w:line="240" w:lineRule="atLeast"/>
              <w:jc w:val="center"/>
              <w:rPr>
                <w:rFonts w:ascii="Times New Roman" w:eastAsia="Calibri" w:hAnsi="Times New Roman" w:cs="Times New Roman"/>
                <w:b/>
                <w:sz w:val="18"/>
                <w:szCs w:val="18"/>
              </w:rPr>
            </w:pPr>
            <w:r w:rsidRPr="00556412">
              <w:rPr>
                <w:rFonts w:ascii="Times New Roman" w:eastAsia="Calibri" w:hAnsi="Times New Roman" w:cs="Times New Roman"/>
                <w:b/>
                <w:sz w:val="18"/>
                <w:szCs w:val="18"/>
              </w:rPr>
              <w:t>Koha e shkëmbimeve</w:t>
            </w:r>
          </w:p>
          <w:p w14:paraId="30C095C7" w14:textId="77777777" w:rsidR="00E336AC" w:rsidRPr="00556412" w:rsidRDefault="00E336AC" w:rsidP="00556412">
            <w:pPr>
              <w:spacing w:line="240" w:lineRule="atLeast"/>
              <w:jc w:val="both"/>
              <w:rPr>
                <w:rFonts w:ascii="Times New Roman" w:eastAsia="Calibri" w:hAnsi="Times New Roman" w:cs="Times New Roman"/>
                <w:sz w:val="18"/>
                <w:szCs w:val="18"/>
              </w:rPr>
            </w:pPr>
          </w:p>
          <w:p w14:paraId="3486BF7E" w14:textId="1741F32A" w:rsidR="003C045B" w:rsidRPr="00556412" w:rsidRDefault="001F55AE" w:rsidP="00556412">
            <w:pPr>
              <w:spacing w:line="240" w:lineRule="atLeast"/>
              <w:jc w:val="both"/>
              <w:rPr>
                <w:rFonts w:ascii="Times New Roman" w:eastAsia="Calibri" w:hAnsi="Times New Roman" w:cs="Times New Roman"/>
                <w:sz w:val="18"/>
                <w:szCs w:val="18"/>
              </w:rPr>
            </w:pPr>
            <w:r w:rsidRPr="00556412">
              <w:rPr>
                <w:rFonts w:ascii="Times New Roman" w:hAnsi="Times New Roman" w:cs="Times New Roman"/>
                <w:sz w:val="18"/>
                <w:szCs w:val="18"/>
                <w:lang w:val="sq-AL"/>
              </w:rPr>
              <w:t>Drejtoria e Përgjithshme e Tatimeve shkëmben pa vones</w:t>
            </w:r>
            <w:r w:rsidR="00CD309C">
              <w:rPr>
                <w:rFonts w:ascii="Times New Roman" w:hAnsi="Times New Roman" w:cs="Times New Roman"/>
                <w:sz w:val="18"/>
                <w:szCs w:val="18"/>
                <w:lang w:val="sq-AL"/>
              </w:rPr>
              <w:t>ë</w:t>
            </w:r>
            <w:r w:rsidRPr="00556412">
              <w:rPr>
                <w:rFonts w:ascii="Times New Roman" w:hAnsi="Times New Roman" w:cs="Times New Roman"/>
                <w:sz w:val="18"/>
                <w:szCs w:val="18"/>
                <w:lang w:val="sq-AL"/>
              </w:rPr>
              <w:t xml:space="preserve"> informacionin përkatës brenda tre muajve nga përfundimi i gjysmës së vitit kalendarik në të cilin janë nxjerrë, ndryshuar ose rinovuar vendimet paraprake ndërkufitare ose marrëveshjet e çmimit në avancë për transferimin e çmimit.</w:t>
            </w:r>
          </w:p>
        </w:tc>
        <w:tc>
          <w:tcPr>
            <w:tcW w:w="976" w:type="dxa"/>
            <w:tcBorders>
              <w:bottom w:val="dashed" w:sz="4" w:space="0" w:color="auto"/>
            </w:tcBorders>
          </w:tcPr>
          <w:p w14:paraId="306D02AA" w14:textId="2D34B5E5" w:rsidR="003C045B" w:rsidRPr="00556412" w:rsidRDefault="00EC4617" w:rsidP="00556412">
            <w:pPr>
              <w:spacing w:line="240" w:lineRule="atLeast"/>
              <w:jc w:val="center"/>
              <w:rPr>
                <w:rFonts w:ascii="Times New Roman" w:eastAsia="Calibri" w:hAnsi="Times New Roman" w:cs="Times New Roman"/>
                <w:sz w:val="18"/>
                <w:szCs w:val="18"/>
                <w:lang w:val="en-US"/>
              </w:rPr>
            </w:pPr>
            <w:r w:rsidRPr="00556412">
              <w:rPr>
                <w:rFonts w:ascii="Times New Roman" w:eastAsia="Calibri" w:hAnsi="Times New Roman" w:cs="Times New Roman"/>
                <w:sz w:val="18"/>
                <w:szCs w:val="18"/>
                <w:lang w:val="en-US"/>
              </w:rPr>
              <w:t>F</w:t>
            </w:r>
          </w:p>
        </w:tc>
        <w:tc>
          <w:tcPr>
            <w:tcW w:w="3150" w:type="dxa"/>
            <w:tcBorders>
              <w:bottom w:val="dashed" w:sz="4" w:space="0" w:color="auto"/>
            </w:tcBorders>
          </w:tcPr>
          <w:p w14:paraId="610C0EF2" w14:textId="6B7DF9D5" w:rsidR="003C045B" w:rsidRPr="00556412" w:rsidRDefault="003C045B" w:rsidP="00556412">
            <w:pPr>
              <w:spacing w:line="240" w:lineRule="atLeast"/>
              <w:rPr>
                <w:rFonts w:ascii="Times New Roman" w:eastAsia="Calibri" w:hAnsi="Times New Roman" w:cs="Times New Roman"/>
                <w:sz w:val="18"/>
                <w:szCs w:val="18"/>
                <w:lang w:val="en-US"/>
              </w:rPr>
            </w:pPr>
          </w:p>
        </w:tc>
      </w:tr>
      <w:tr w:rsidR="003C045B" w:rsidRPr="00556412" w14:paraId="71F4D229" w14:textId="77777777" w:rsidTr="003C3604">
        <w:tc>
          <w:tcPr>
            <w:tcW w:w="540" w:type="dxa"/>
          </w:tcPr>
          <w:p w14:paraId="5E9580EC" w14:textId="38D2E61A" w:rsidR="003C045B" w:rsidRPr="00556412" w:rsidRDefault="003C045B" w:rsidP="00556412">
            <w:pPr>
              <w:spacing w:line="240" w:lineRule="atLeast"/>
              <w:jc w:val="both"/>
              <w:rPr>
                <w:rFonts w:ascii="Times New Roman" w:eastAsia="Calibri" w:hAnsi="Times New Roman" w:cs="Times New Roman"/>
                <w:sz w:val="18"/>
                <w:szCs w:val="18"/>
                <w:lang w:val="en-US"/>
              </w:rPr>
            </w:pPr>
          </w:p>
        </w:tc>
        <w:tc>
          <w:tcPr>
            <w:tcW w:w="5400" w:type="dxa"/>
          </w:tcPr>
          <w:p w14:paraId="3E77A4BB" w14:textId="77777777" w:rsidR="00A030DE" w:rsidRPr="00556412" w:rsidRDefault="002511E0" w:rsidP="00556412">
            <w:pPr>
              <w:pStyle w:val="NormalWeb"/>
              <w:spacing w:line="240" w:lineRule="atLeast"/>
              <w:jc w:val="both"/>
              <w:rPr>
                <w:rFonts w:eastAsia="Times New Roman"/>
                <w:sz w:val="18"/>
                <w:szCs w:val="18"/>
                <w:lang w:val="en-US"/>
              </w:rPr>
            </w:pPr>
            <w:r w:rsidRPr="00556412">
              <w:rPr>
                <w:rStyle w:val="legamendingtext"/>
                <w:color w:val="000000"/>
                <w:sz w:val="18"/>
                <w:szCs w:val="18"/>
              </w:rPr>
              <w:t xml:space="preserve">6.   </w:t>
            </w:r>
            <w:r w:rsidR="00A030DE" w:rsidRPr="00556412">
              <w:rPr>
                <w:rFonts w:eastAsia="Times New Roman"/>
                <w:bCs/>
                <w:sz w:val="18"/>
                <w:szCs w:val="18"/>
                <w:lang w:val="en-US"/>
              </w:rPr>
              <w:t>Informacioni që duhet të komunikohet nga një shtet anëtar, në përputhje me paragrafët 1 dhe 2 të këtij neni, përfshin sa vijon:</w:t>
            </w:r>
          </w:p>
          <w:p w14:paraId="09D39A33" w14:textId="77777777" w:rsidR="00A030DE" w:rsidRPr="00556412" w:rsidRDefault="00A030DE" w:rsidP="00556412">
            <w:pPr>
              <w:spacing w:before="100" w:beforeAutospacing="1" w:after="100" w:afterAutospacing="1" w:line="240" w:lineRule="atLeast"/>
              <w:jc w:val="both"/>
              <w:rPr>
                <w:rFonts w:ascii="Times New Roman" w:eastAsia="Times New Roman" w:hAnsi="Times New Roman" w:cs="Times New Roman"/>
                <w:sz w:val="18"/>
                <w:szCs w:val="18"/>
              </w:rPr>
            </w:pPr>
            <w:r w:rsidRPr="00556412">
              <w:rPr>
                <w:rFonts w:ascii="Times New Roman" w:eastAsia="Times New Roman" w:hAnsi="Times New Roman" w:cs="Times New Roman"/>
                <w:bCs/>
                <w:sz w:val="18"/>
                <w:szCs w:val="18"/>
              </w:rPr>
              <w:t>(a)</w:t>
            </w:r>
            <w:r w:rsidRPr="00556412">
              <w:rPr>
                <w:rFonts w:ascii="Times New Roman" w:eastAsia="Times New Roman" w:hAnsi="Times New Roman" w:cs="Times New Roman"/>
                <w:sz w:val="18"/>
                <w:szCs w:val="18"/>
              </w:rPr>
              <w:t xml:space="preserve"> identifikimin e personit, përveç personit fizik, përveç rasteve kur vendimi paraprak ndërkufitar ka të bëjë me një person fizik dhe duhet të komunikohet në përputhje me paragrafët 1 dhe 4, si dhe, kur është e përshtatshme, grupin e personave të cilit i përket;</w:t>
            </w:r>
          </w:p>
          <w:p w14:paraId="08690B19" w14:textId="43BB7711" w:rsidR="00A030DE" w:rsidRPr="00556412" w:rsidRDefault="00A030DE" w:rsidP="00556412">
            <w:pPr>
              <w:spacing w:before="100" w:beforeAutospacing="1" w:after="100" w:afterAutospacing="1" w:line="240" w:lineRule="atLeast"/>
              <w:jc w:val="both"/>
              <w:rPr>
                <w:rFonts w:ascii="Times New Roman" w:eastAsia="Times New Roman" w:hAnsi="Times New Roman" w:cs="Times New Roman"/>
                <w:sz w:val="18"/>
                <w:szCs w:val="18"/>
              </w:rPr>
            </w:pPr>
            <w:r w:rsidRPr="00556412">
              <w:rPr>
                <w:rFonts w:ascii="Times New Roman" w:eastAsia="Times New Roman" w:hAnsi="Times New Roman" w:cs="Times New Roman"/>
                <w:bCs/>
                <w:sz w:val="18"/>
                <w:szCs w:val="18"/>
              </w:rPr>
              <w:t>(b)</w:t>
            </w:r>
            <w:r w:rsidRPr="00556412">
              <w:rPr>
                <w:rFonts w:ascii="Times New Roman" w:eastAsia="Times New Roman" w:hAnsi="Times New Roman" w:cs="Times New Roman"/>
                <w:sz w:val="18"/>
                <w:szCs w:val="18"/>
              </w:rPr>
              <w:t xml:space="preserve"> një përmbledhje të vendimit paraprak ndërkufitar ose të marrëveshjes paraprake për çmimin, duke përfshirë një përshkrim të aktiviteteve tregtare ose transaksioneve përkatëse apo të serisë së transaksioneve dhe çdo informacion tjetër që mund të ndihmojë autoritetin kompetent në vlerësimin e një rreziku të mundshëm tatimor, pa çuar në zbulimin e një sekreti tregtar, industrial ose profesional, apo të një procesi tregtar, ose </w:t>
            </w:r>
            <w:r w:rsidRPr="00556412">
              <w:rPr>
                <w:rFonts w:ascii="Times New Roman" w:eastAsia="Times New Roman" w:hAnsi="Times New Roman" w:cs="Times New Roman"/>
                <w:sz w:val="18"/>
                <w:szCs w:val="18"/>
              </w:rPr>
              <w:lastRenderedPageBreak/>
              <w:t>të informacionit, zbulimi i të cilit do të ishte në kundërshtim me rendin publik;</w:t>
            </w:r>
          </w:p>
          <w:p w14:paraId="5196B9A7" w14:textId="04A6A733" w:rsidR="00A030DE" w:rsidRPr="00556412" w:rsidRDefault="00A030DE" w:rsidP="00556412">
            <w:pPr>
              <w:spacing w:before="100" w:beforeAutospacing="1" w:after="100" w:afterAutospacing="1" w:line="240" w:lineRule="atLeast"/>
              <w:jc w:val="both"/>
              <w:rPr>
                <w:rFonts w:ascii="Times New Roman" w:eastAsia="Times New Roman" w:hAnsi="Times New Roman" w:cs="Times New Roman"/>
                <w:sz w:val="18"/>
                <w:szCs w:val="18"/>
              </w:rPr>
            </w:pPr>
            <w:r w:rsidRPr="00556412">
              <w:rPr>
                <w:rFonts w:ascii="Times New Roman" w:eastAsia="Times New Roman" w:hAnsi="Times New Roman" w:cs="Times New Roman"/>
                <w:bCs/>
                <w:sz w:val="18"/>
                <w:szCs w:val="18"/>
              </w:rPr>
              <w:t>(c)</w:t>
            </w:r>
            <w:r w:rsidRPr="00556412">
              <w:rPr>
                <w:rFonts w:ascii="Times New Roman" w:eastAsia="Times New Roman" w:hAnsi="Times New Roman" w:cs="Times New Roman"/>
                <w:sz w:val="18"/>
                <w:szCs w:val="18"/>
              </w:rPr>
              <w:t xml:space="preserve"> datat e lëshimit, ndryshimit ose rinovimit të vendimit paraprak ndërkufitar ose të marrëveshjes paraprake për çmimin;</w:t>
            </w:r>
          </w:p>
          <w:p w14:paraId="7B5401A2" w14:textId="77777777" w:rsidR="00A030DE" w:rsidRPr="00556412" w:rsidRDefault="00A030DE" w:rsidP="00556412">
            <w:pPr>
              <w:spacing w:before="100" w:beforeAutospacing="1" w:after="100" w:afterAutospacing="1" w:line="240" w:lineRule="atLeast"/>
              <w:jc w:val="both"/>
              <w:rPr>
                <w:rFonts w:ascii="Times New Roman" w:eastAsia="Times New Roman" w:hAnsi="Times New Roman" w:cs="Times New Roman"/>
                <w:sz w:val="18"/>
                <w:szCs w:val="18"/>
              </w:rPr>
            </w:pPr>
            <w:r w:rsidRPr="00556412">
              <w:rPr>
                <w:rFonts w:ascii="Times New Roman" w:eastAsia="Times New Roman" w:hAnsi="Times New Roman" w:cs="Times New Roman"/>
                <w:bCs/>
                <w:sz w:val="18"/>
                <w:szCs w:val="18"/>
              </w:rPr>
              <w:t>(d)</w:t>
            </w:r>
            <w:r w:rsidRPr="00556412">
              <w:rPr>
                <w:rFonts w:ascii="Times New Roman" w:eastAsia="Times New Roman" w:hAnsi="Times New Roman" w:cs="Times New Roman"/>
                <w:sz w:val="18"/>
                <w:szCs w:val="18"/>
              </w:rPr>
              <w:t xml:space="preserve"> data e fillimit të periudhës së vlefshmërisë së vendimit paraprak ndërkufitar ose marrëveshjes paraprake për çmimin, nëse është e përcaktuar;</w:t>
            </w:r>
          </w:p>
          <w:p w14:paraId="16FAC732" w14:textId="1A6A4E8C" w:rsidR="00A030DE" w:rsidRPr="00556412" w:rsidRDefault="00A030DE" w:rsidP="00556412">
            <w:pPr>
              <w:spacing w:before="100" w:beforeAutospacing="1" w:after="100" w:afterAutospacing="1" w:line="240" w:lineRule="atLeast"/>
              <w:jc w:val="both"/>
              <w:rPr>
                <w:rFonts w:ascii="Times New Roman" w:eastAsia="Times New Roman" w:hAnsi="Times New Roman" w:cs="Times New Roman"/>
                <w:sz w:val="18"/>
                <w:szCs w:val="18"/>
              </w:rPr>
            </w:pPr>
            <w:r w:rsidRPr="00556412">
              <w:rPr>
                <w:rFonts w:ascii="Times New Roman" w:eastAsia="Times New Roman" w:hAnsi="Times New Roman" w:cs="Times New Roman"/>
                <w:bCs/>
                <w:sz w:val="18"/>
                <w:szCs w:val="18"/>
              </w:rPr>
              <w:t>(e)</w:t>
            </w:r>
            <w:r w:rsidRPr="00556412">
              <w:rPr>
                <w:rFonts w:ascii="Times New Roman" w:eastAsia="Times New Roman" w:hAnsi="Times New Roman" w:cs="Times New Roman"/>
                <w:sz w:val="18"/>
                <w:szCs w:val="18"/>
              </w:rPr>
              <w:t xml:space="preserve"> data e mbarimit të periudhës së vlefshmërisë së vendimit paraprak ndërkufitar ose marrëveshjes paraprake për çmimin, nëse është e përcaktuar;</w:t>
            </w:r>
          </w:p>
          <w:p w14:paraId="5FD92497" w14:textId="17A30BE5" w:rsidR="00A030DE" w:rsidRPr="00556412" w:rsidRDefault="00A030DE" w:rsidP="00556412">
            <w:pPr>
              <w:spacing w:before="100" w:beforeAutospacing="1" w:after="100" w:afterAutospacing="1" w:line="240" w:lineRule="atLeast"/>
              <w:jc w:val="both"/>
              <w:rPr>
                <w:rFonts w:ascii="Times New Roman" w:eastAsia="Times New Roman" w:hAnsi="Times New Roman" w:cs="Times New Roman"/>
                <w:sz w:val="18"/>
                <w:szCs w:val="18"/>
              </w:rPr>
            </w:pPr>
            <w:r w:rsidRPr="00556412">
              <w:rPr>
                <w:rFonts w:ascii="Times New Roman" w:eastAsia="Times New Roman" w:hAnsi="Times New Roman" w:cs="Times New Roman"/>
                <w:bCs/>
                <w:sz w:val="18"/>
                <w:szCs w:val="18"/>
              </w:rPr>
              <w:t>(f)</w:t>
            </w:r>
            <w:r w:rsidRPr="00556412">
              <w:rPr>
                <w:rFonts w:ascii="Times New Roman" w:eastAsia="Times New Roman" w:hAnsi="Times New Roman" w:cs="Times New Roman"/>
                <w:sz w:val="18"/>
                <w:szCs w:val="18"/>
              </w:rPr>
              <w:t xml:space="preserve"> lloji i vendimit paraprak ndërkufitar ose i marrëveshjes paraprake për çmimin.</w:t>
            </w:r>
          </w:p>
          <w:p w14:paraId="07FBD06E" w14:textId="46115245" w:rsidR="00A030DE" w:rsidRPr="00556412" w:rsidRDefault="00A030DE" w:rsidP="00556412">
            <w:pPr>
              <w:spacing w:before="100" w:beforeAutospacing="1" w:after="100" w:afterAutospacing="1" w:line="240" w:lineRule="atLeast"/>
              <w:jc w:val="both"/>
              <w:rPr>
                <w:rFonts w:ascii="Times New Roman" w:eastAsia="Times New Roman" w:hAnsi="Times New Roman" w:cs="Times New Roman"/>
                <w:sz w:val="18"/>
                <w:szCs w:val="18"/>
              </w:rPr>
            </w:pPr>
            <w:r w:rsidRPr="00556412">
              <w:rPr>
                <w:rFonts w:ascii="Times New Roman" w:eastAsia="Times New Roman" w:hAnsi="Times New Roman" w:cs="Times New Roman"/>
                <w:bCs/>
                <w:sz w:val="18"/>
                <w:szCs w:val="18"/>
              </w:rPr>
              <w:t>(g)</w:t>
            </w:r>
            <w:r w:rsidRPr="00556412">
              <w:rPr>
                <w:rFonts w:ascii="Times New Roman" w:eastAsia="Times New Roman" w:hAnsi="Times New Roman" w:cs="Times New Roman"/>
                <w:sz w:val="18"/>
                <w:szCs w:val="18"/>
              </w:rPr>
              <w:t xml:space="preserve"> shumën e transaksionit ose të serisë së transaksioneve të vendimit paraprak ndërkufitar ose të marrëveshjes paraprake për çmimin, nëse kjo shumë është e përcaktuar në vendimin paraprak ndërkufitar ose në marrëveshjen paraprake për çmimin;</w:t>
            </w:r>
          </w:p>
          <w:p w14:paraId="25431105" w14:textId="6948D49D" w:rsidR="00A030DE" w:rsidRPr="00556412" w:rsidRDefault="00A030DE" w:rsidP="00556412">
            <w:pPr>
              <w:spacing w:before="100" w:beforeAutospacing="1" w:after="100" w:afterAutospacing="1" w:line="240" w:lineRule="atLeast"/>
              <w:jc w:val="both"/>
              <w:rPr>
                <w:rFonts w:ascii="Times New Roman" w:eastAsia="Times New Roman" w:hAnsi="Times New Roman" w:cs="Times New Roman"/>
                <w:sz w:val="18"/>
                <w:szCs w:val="18"/>
              </w:rPr>
            </w:pPr>
            <w:r w:rsidRPr="00556412">
              <w:rPr>
                <w:rFonts w:ascii="Times New Roman" w:eastAsia="Times New Roman" w:hAnsi="Times New Roman" w:cs="Times New Roman"/>
                <w:bCs/>
                <w:sz w:val="18"/>
                <w:szCs w:val="18"/>
              </w:rPr>
              <w:t>(h)</w:t>
            </w:r>
            <w:r w:rsidRPr="00556412">
              <w:rPr>
                <w:rFonts w:ascii="Times New Roman" w:eastAsia="Times New Roman" w:hAnsi="Times New Roman" w:cs="Times New Roman"/>
                <w:sz w:val="18"/>
                <w:szCs w:val="18"/>
              </w:rPr>
              <w:t xml:space="preserve"> përshkrimin e grupit të kritereve të përdorura për përcaktimin e çmimeve të transferimit ose vetë çmimit të transferimit, në rastin e një marrëveshjeje paraprake për çmimin;</w:t>
            </w:r>
          </w:p>
          <w:p w14:paraId="6413D9F7" w14:textId="11C90FFA" w:rsidR="00A030DE" w:rsidRPr="00556412" w:rsidRDefault="00A030DE" w:rsidP="00556412">
            <w:pPr>
              <w:spacing w:before="100" w:beforeAutospacing="1" w:after="100" w:afterAutospacing="1" w:line="240" w:lineRule="atLeast"/>
              <w:jc w:val="both"/>
              <w:rPr>
                <w:rFonts w:ascii="Times New Roman" w:eastAsia="Times New Roman" w:hAnsi="Times New Roman" w:cs="Times New Roman"/>
                <w:sz w:val="18"/>
                <w:szCs w:val="18"/>
              </w:rPr>
            </w:pPr>
            <w:r w:rsidRPr="00556412">
              <w:rPr>
                <w:rFonts w:ascii="Times New Roman" w:eastAsia="Times New Roman" w:hAnsi="Times New Roman" w:cs="Times New Roman"/>
                <w:bCs/>
                <w:sz w:val="18"/>
                <w:szCs w:val="18"/>
              </w:rPr>
              <w:t>(i)</w:t>
            </w:r>
            <w:r w:rsidRPr="00556412">
              <w:rPr>
                <w:rFonts w:ascii="Times New Roman" w:eastAsia="Times New Roman" w:hAnsi="Times New Roman" w:cs="Times New Roman"/>
                <w:sz w:val="18"/>
                <w:szCs w:val="18"/>
              </w:rPr>
              <w:t xml:space="preserve"> identifikimin e metodës së përdorur për përcaktimin e çmimeve të transferimit ose vetë çmimit të transferimit, në rastin e një marrëveshjeje paraprake për çmimin;</w:t>
            </w:r>
          </w:p>
          <w:p w14:paraId="0836B5EB" w14:textId="6EA53F6C" w:rsidR="00A030DE" w:rsidRPr="00556412" w:rsidRDefault="00A030DE" w:rsidP="00556412">
            <w:pPr>
              <w:spacing w:before="100" w:beforeAutospacing="1" w:after="100" w:afterAutospacing="1" w:line="240" w:lineRule="atLeast"/>
              <w:jc w:val="both"/>
              <w:rPr>
                <w:rFonts w:ascii="Times New Roman" w:eastAsia="Times New Roman" w:hAnsi="Times New Roman" w:cs="Times New Roman"/>
                <w:sz w:val="18"/>
                <w:szCs w:val="18"/>
              </w:rPr>
            </w:pPr>
            <w:r w:rsidRPr="00556412">
              <w:rPr>
                <w:rFonts w:ascii="Times New Roman" w:eastAsia="Times New Roman" w:hAnsi="Times New Roman" w:cs="Times New Roman"/>
                <w:bCs/>
                <w:sz w:val="18"/>
                <w:szCs w:val="18"/>
              </w:rPr>
              <w:lastRenderedPageBreak/>
              <w:t>(j)</w:t>
            </w:r>
            <w:r w:rsidRPr="00556412">
              <w:rPr>
                <w:rFonts w:ascii="Times New Roman" w:eastAsia="Times New Roman" w:hAnsi="Times New Roman" w:cs="Times New Roman"/>
                <w:sz w:val="18"/>
                <w:szCs w:val="18"/>
              </w:rPr>
              <w:t xml:space="preserve"> identifikimin e shteteve të tjera anëtare, nëse ka, që mund të preken nga vendimi paraprak ndërkufitar ose marrëveshja paraprake për çmimin;</w:t>
            </w:r>
          </w:p>
          <w:p w14:paraId="35EDA2B5" w14:textId="48790766" w:rsidR="00A030DE" w:rsidRPr="00556412" w:rsidRDefault="00A030DE" w:rsidP="00556412">
            <w:pPr>
              <w:spacing w:before="100" w:beforeAutospacing="1" w:after="100" w:afterAutospacing="1" w:line="240" w:lineRule="atLeast"/>
              <w:jc w:val="both"/>
              <w:rPr>
                <w:rFonts w:ascii="Times New Roman" w:eastAsia="Times New Roman" w:hAnsi="Times New Roman" w:cs="Times New Roman"/>
                <w:sz w:val="18"/>
                <w:szCs w:val="18"/>
              </w:rPr>
            </w:pPr>
            <w:r w:rsidRPr="00556412">
              <w:rPr>
                <w:rFonts w:ascii="Times New Roman" w:eastAsia="Times New Roman" w:hAnsi="Times New Roman" w:cs="Times New Roman"/>
                <w:bCs/>
                <w:sz w:val="18"/>
                <w:szCs w:val="18"/>
              </w:rPr>
              <w:t>(k)</w:t>
            </w:r>
            <w:r w:rsidRPr="00556412">
              <w:rPr>
                <w:rFonts w:ascii="Times New Roman" w:eastAsia="Times New Roman" w:hAnsi="Times New Roman" w:cs="Times New Roman"/>
                <w:sz w:val="18"/>
                <w:szCs w:val="18"/>
              </w:rPr>
              <w:t xml:space="preserve"> identifikimin e çdo personi, përveç personit fizik, përveç rasteve kur vendimi paraprak ndërkufitar ka të bëjë me një person fizik dhe duhet të komunikohet në përputhje me paragrafët 1 dhe 4, në shtetet e tjera anëtare, nëse ka, që mund të preken nga vendimi paraprak ndërkufitar ose marrëveshja paraprake për çmimin (duke treguar se me cilat shtete anëtare janë të lidhur personat e prekur); dhe</w:t>
            </w:r>
          </w:p>
          <w:p w14:paraId="661DB53C" w14:textId="45977C15" w:rsidR="00875997" w:rsidRPr="00556412" w:rsidRDefault="00875997" w:rsidP="00556412">
            <w:pPr>
              <w:spacing w:line="240" w:lineRule="atLeast"/>
              <w:jc w:val="both"/>
              <w:rPr>
                <w:rFonts w:ascii="Times New Roman" w:eastAsia="Times New Roman" w:hAnsi="Times New Roman" w:cs="Times New Roman"/>
                <w:sz w:val="18"/>
                <w:szCs w:val="18"/>
              </w:rPr>
            </w:pPr>
            <w:r w:rsidRPr="00556412">
              <w:rPr>
                <w:rFonts w:ascii="Times New Roman" w:eastAsia="Times New Roman" w:hAnsi="Times New Roman" w:cs="Times New Roman"/>
                <w:bCs/>
                <w:sz w:val="18"/>
                <w:szCs w:val="18"/>
              </w:rPr>
              <w:t>(l)</w:t>
            </w:r>
            <w:r w:rsidRPr="00556412">
              <w:rPr>
                <w:rFonts w:ascii="Times New Roman" w:eastAsia="Times New Roman" w:hAnsi="Times New Roman" w:cs="Times New Roman"/>
                <w:sz w:val="18"/>
                <w:szCs w:val="18"/>
              </w:rPr>
              <w:t xml:space="preserve"> treguesin nëse informacioni i komunikuar bazohet në vetë vendimin paraprak ndërkufitar ose në marrëveshjen paraprake për çmimin, apo në kërkesën e referuar në nënparagrafin e dytë të paragrafit 3 të këtij neni.</w:t>
            </w:r>
          </w:p>
          <w:p w14:paraId="287FB5C7" w14:textId="41F6609D" w:rsidR="003C045B" w:rsidRPr="00556412" w:rsidRDefault="003C045B" w:rsidP="00556412">
            <w:pPr>
              <w:pStyle w:val="Heading2"/>
              <w:spacing w:after="120" w:line="240" w:lineRule="atLeast"/>
              <w:jc w:val="both"/>
              <w:rPr>
                <w:rFonts w:ascii="Times New Roman" w:eastAsia="Calibri" w:hAnsi="Times New Roman" w:cs="Times New Roman"/>
                <w:iCs/>
                <w:sz w:val="18"/>
                <w:szCs w:val="18"/>
              </w:rPr>
            </w:pPr>
          </w:p>
        </w:tc>
        <w:tc>
          <w:tcPr>
            <w:tcW w:w="540" w:type="dxa"/>
          </w:tcPr>
          <w:p w14:paraId="4801E7A0" w14:textId="1D4E9A6D" w:rsidR="003C045B" w:rsidRPr="00556412" w:rsidRDefault="003C045B" w:rsidP="00556412">
            <w:pPr>
              <w:spacing w:line="240" w:lineRule="atLeast"/>
              <w:jc w:val="center"/>
              <w:rPr>
                <w:rFonts w:ascii="Times New Roman" w:eastAsia="Calibri" w:hAnsi="Times New Roman" w:cs="Times New Roman"/>
                <w:sz w:val="18"/>
                <w:szCs w:val="18"/>
              </w:rPr>
            </w:pPr>
          </w:p>
        </w:tc>
        <w:tc>
          <w:tcPr>
            <w:tcW w:w="630" w:type="dxa"/>
          </w:tcPr>
          <w:p w14:paraId="14F1CC0D" w14:textId="77777777" w:rsidR="004226BF" w:rsidRPr="00556412" w:rsidRDefault="004226BF" w:rsidP="00556412">
            <w:pPr>
              <w:spacing w:line="240" w:lineRule="atLeast"/>
              <w:jc w:val="center"/>
              <w:rPr>
                <w:rFonts w:ascii="Times New Roman" w:eastAsia="Calibri" w:hAnsi="Times New Roman" w:cs="Times New Roman"/>
                <w:sz w:val="18"/>
                <w:szCs w:val="18"/>
              </w:rPr>
            </w:pPr>
          </w:p>
          <w:p w14:paraId="6BB648EA" w14:textId="36D14285" w:rsidR="003C045B" w:rsidRPr="00556412" w:rsidRDefault="00A030DE" w:rsidP="00556412">
            <w:pPr>
              <w:spacing w:line="240" w:lineRule="atLeast"/>
              <w:jc w:val="center"/>
              <w:rPr>
                <w:rFonts w:ascii="Times New Roman" w:eastAsia="Calibri" w:hAnsi="Times New Roman" w:cs="Times New Roman"/>
                <w:sz w:val="18"/>
                <w:szCs w:val="18"/>
                <w:lang w:val="en-US"/>
              </w:rPr>
            </w:pPr>
            <w:r w:rsidRPr="00556412">
              <w:rPr>
                <w:rFonts w:ascii="Times New Roman" w:eastAsia="Calibri" w:hAnsi="Times New Roman" w:cs="Times New Roman"/>
                <w:sz w:val="18"/>
                <w:szCs w:val="18"/>
                <w:lang w:val="en-US"/>
              </w:rPr>
              <w:t>Neni</w:t>
            </w:r>
            <w:r w:rsidR="00EC4617" w:rsidRPr="00556412">
              <w:rPr>
                <w:rFonts w:ascii="Times New Roman" w:eastAsia="Calibri" w:hAnsi="Times New Roman" w:cs="Times New Roman"/>
                <w:sz w:val="18"/>
                <w:szCs w:val="18"/>
                <w:lang w:val="en-US"/>
              </w:rPr>
              <w:t xml:space="preserve"> 7 </w:t>
            </w:r>
          </w:p>
        </w:tc>
        <w:tc>
          <w:tcPr>
            <w:tcW w:w="4964" w:type="dxa"/>
          </w:tcPr>
          <w:p w14:paraId="6F33554E" w14:textId="77777777" w:rsidR="003C045B" w:rsidRPr="00556412" w:rsidRDefault="003C045B" w:rsidP="00556412">
            <w:pPr>
              <w:spacing w:before="120" w:line="240" w:lineRule="atLeast"/>
              <w:jc w:val="both"/>
              <w:rPr>
                <w:rFonts w:ascii="Times New Roman" w:eastAsia="Times New Roman" w:hAnsi="Times New Roman" w:cs="Times New Roman"/>
                <w:sz w:val="18"/>
                <w:szCs w:val="18"/>
                <w:lang w:val="sq-AL" w:eastAsia="sq-AL"/>
              </w:rPr>
            </w:pPr>
          </w:p>
          <w:p w14:paraId="453390DB" w14:textId="77777777" w:rsidR="00E336AC" w:rsidRPr="00556412" w:rsidRDefault="00E336AC" w:rsidP="00556412">
            <w:pPr>
              <w:spacing w:line="240" w:lineRule="atLeast"/>
              <w:ind w:left="720"/>
              <w:jc w:val="center"/>
              <w:rPr>
                <w:rFonts w:ascii="Times New Roman" w:eastAsia="Calibri" w:hAnsi="Times New Roman" w:cs="Times New Roman"/>
                <w:b/>
                <w:sz w:val="18"/>
                <w:szCs w:val="18"/>
                <w:lang w:val="it-CH"/>
              </w:rPr>
            </w:pPr>
            <w:r w:rsidRPr="00556412">
              <w:rPr>
                <w:rFonts w:ascii="Times New Roman" w:eastAsia="Calibri" w:hAnsi="Times New Roman" w:cs="Times New Roman"/>
                <w:b/>
                <w:sz w:val="18"/>
                <w:szCs w:val="18"/>
                <w:lang w:val="it-CH"/>
              </w:rPr>
              <w:t>Neni 7</w:t>
            </w:r>
          </w:p>
          <w:p w14:paraId="66490151" w14:textId="43A07200" w:rsidR="00E336AC" w:rsidRPr="00556412" w:rsidRDefault="00E336AC" w:rsidP="00556412">
            <w:pPr>
              <w:spacing w:line="240" w:lineRule="atLeast"/>
              <w:ind w:left="720"/>
              <w:jc w:val="center"/>
              <w:rPr>
                <w:rFonts w:ascii="Times New Roman" w:eastAsia="Calibri" w:hAnsi="Times New Roman" w:cs="Times New Roman"/>
                <w:b/>
                <w:sz w:val="18"/>
                <w:szCs w:val="18"/>
                <w:lang w:val="it-CH"/>
              </w:rPr>
            </w:pPr>
            <w:r w:rsidRPr="00556412">
              <w:rPr>
                <w:rFonts w:ascii="Times New Roman" w:eastAsia="Calibri" w:hAnsi="Times New Roman" w:cs="Times New Roman"/>
                <w:b/>
                <w:sz w:val="18"/>
                <w:szCs w:val="18"/>
                <w:lang w:val="it-CH"/>
              </w:rPr>
              <w:t>Përmbajtja e informacionit që do të shkëmbehet</w:t>
            </w:r>
          </w:p>
          <w:p w14:paraId="7D4249FB" w14:textId="77777777" w:rsidR="00E336AC" w:rsidRPr="00556412" w:rsidRDefault="00E336AC" w:rsidP="00556412">
            <w:pPr>
              <w:spacing w:line="240" w:lineRule="atLeast"/>
              <w:ind w:left="720"/>
              <w:jc w:val="center"/>
              <w:rPr>
                <w:rFonts w:ascii="Times New Roman" w:eastAsia="Calibri" w:hAnsi="Times New Roman" w:cs="Times New Roman"/>
                <w:b/>
                <w:sz w:val="18"/>
                <w:szCs w:val="18"/>
                <w:lang w:val="it-CH"/>
              </w:rPr>
            </w:pPr>
          </w:p>
          <w:p w14:paraId="19C45F83" w14:textId="3BABEB9A" w:rsidR="00E336AC" w:rsidRPr="00556412" w:rsidRDefault="00E336AC" w:rsidP="00556412">
            <w:pPr>
              <w:spacing w:line="240" w:lineRule="atLeast"/>
              <w:jc w:val="both"/>
              <w:rPr>
                <w:rFonts w:ascii="Times New Roman" w:eastAsia="Calibri" w:hAnsi="Times New Roman" w:cs="Times New Roman"/>
                <w:sz w:val="18"/>
                <w:szCs w:val="18"/>
                <w:lang w:val="it-CH"/>
              </w:rPr>
            </w:pPr>
            <w:r w:rsidRPr="00556412">
              <w:rPr>
                <w:rFonts w:ascii="Times New Roman" w:eastAsia="Calibri" w:hAnsi="Times New Roman" w:cs="Times New Roman"/>
                <w:sz w:val="18"/>
                <w:szCs w:val="18"/>
                <w:lang w:val="it-CH"/>
              </w:rPr>
              <w:t>1.</w:t>
            </w:r>
            <w:r w:rsidR="00F85C38" w:rsidRPr="00556412">
              <w:rPr>
                <w:rFonts w:ascii="Times New Roman" w:hAnsi="Times New Roman" w:cs="Times New Roman"/>
                <w:sz w:val="18"/>
                <w:szCs w:val="18"/>
                <w:lang w:val="sq-AL"/>
              </w:rPr>
              <w:t xml:space="preserve"> Drejtoria e Përgjithshme e Tatimeve autoriteteve kompetente të shteteve të tjera anëtare të paktën informacionin e mëposhtëm, në masën që është i zbatueshëm dhe në përputhje me rregullat e konfidencialitetit</w:t>
            </w:r>
            <w:r w:rsidRPr="00556412">
              <w:rPr>
                <w:rFonts w:ascii="Times New Roman" w:eastAsia="Calibri" w:hAnsi="Times New Roman" w:cs="Times New Roman"/>
                <w:sz w:val="18"/>
                <w:szCs w:val="18"/>
                <w:lang w:val="it-CH"/>
              </w:rPr>
              <w:t>:</w:t>
            </w:r>
          </w:p>
          <w:p w14:paraId="1D90EB53" w14:textId="77777777" w:rsidR="00E336AC" w:rsidRPr="00556412" w:rsidRDefault="00E336AC" w:rsidP="00556412">
            <w:pPr>
              <w:spacing w:line="240" w:lineRule="atLeast"/>
              <w:ind w:left="720"/>
              <w:jc w:val="both"/>
              <w:rPr>
                <w:rFonts w:ascii="Times New Roman" w:eastAsia="Calibri" w:hAnsi="Times New Roman" w:cs="Times New Roman"/>
                <w:sz w:val="18"/>
                <w:szCs w:val="18"/>
                <w:lang w:val="it-CH"/>
              </w:rPr>
            </w:pPr>
          </w:p>
          <w:p w14:paraId="5BA0949C" w14:textId="4BF5CEF7" w:rsidR="00E336AC" w:rsidRPr="00556412" w:rsidRDefault="00E336AC" w:rsidP="00556412">
            <w:pPr>
              <w:spacing w:line="240" w:lineRule="atLeast"/>
              <w:jc w:val="both"/>
              <w:rPr>
                <w:rFonts w:ascii="Times New Roman" w:eastAsia="Calibri" w:hAnsi="Times New Roman" w:cs="Times New Roman"/>
                <w:sz w:val="18"/>
                <w:szCs w:val="18"/>
                <w:lang w:val="it-CH"/>
              </w:rPr>
            </w:pPr>
            <w:r w:rsidRPr="00556412">
              <w:rPr>
                <w:rFonts w:ascii="Times New Roman" w:eastAsia="Calibri" w:hAnsi="Times New Roman" w:cs="Times New Roman"/>
                <w:sz w:val="18"/>
                <w:szCs w:val="18"/>
                <w:lang w:val="it-CH"/>
              </w:rPr>
              <w:t>a)</w:t>
            </w:r>
            <w:r w:rsidR="000957A0" w:rsidRPr="00556412">
              <w:rPr>
                <w:rFonts w:ascii="Times New Roman" w:eastAsia="Calibri" w:hAnsi="Times New Roman" w:cs="Times New Roman"/>
                <w:sz w:val="18"/>
                <w:szCs w:val="18"/>
                <w:lang w:val="it-CH"/>
              </w:rPr>
              <w:t xml:space="preserve"> </w:t>
            </w:r>
            <w:r w:rsidRPr="00556412">
              <w:rPr>
                <w:rFonts w:ascii="Times New Roman" w:eastAsia="Calibri" w:hAnsi="Times New Roman" w:cs="Times New Roman"/>
                <w:sz w:val="18"/>
                <w:szCs w:val="18"/>
                <w:lang w:val="it-CH"/>
              </w:rPr>
              <w:t>dentifikimin e personit,</w:t>
            </w:r>
            <w:r w:rsidR="000957A0" w:rsidRPr="00556412">
              <w:rPr>
                <w:rFonts w:ascii="Times New Roman" w:eastAsia="Calibri" w:hAnsi="Times New Roman" w:cs="Times New Roman"/>
                <w:sz w:val="18"/>
                <w:szCs w:val="18"/>
                <w:lang w:val="it-CH"/>
              </w:rPr>
              <w:t xml:space="preserve"> </w:t>
            </w:r>
            <w:r w:rsidRPr="00556412">
              <w:rPr>
                <w:rFonts w:ascii="Times New Roman" w:eastAsia="Calibri" w:hAnsi="Times New Roman" w:cs="Times New Roman"/>
                <w:sz w:val="18"/>
                <w:szCs w:val="18"/>
                <w:lang w:val="it-CH"/>
              </w:rPr>
              <w:t>përveç një personi fizik, me përjashtim të rasteve kur, kur vendimi paraprak ndërkufitar ka të bëjë me një person fizik dhe do të komunikohet në përputhje me p</w:t>
            </w:r>
            <w:r w:rsidR="005B0824" w:rsidRPr="00556412">
              <w:rPr>
                <w:rFonts w:ascii="Times New Roman" w:eastAsia="Calibri" w:hAnsi="Times New Roman" w:cs="Times New Roman"/>
                <w:sz w:val="18"/>
                <w:szCs w:val="18"/>
                <w:lang w:val="it-CH"/>
              </w:rPr>
              <w:t>ikat</w:t>
            </w:r>
            <w:r w:rsidRPr="00556412">
              <w:rPr>
                <w:rFonts w:ascii="Times New Roman" w:eastAsia="Calibri" w:hAnsi="Times New Roman" w:cs="Times New Roman"/>
                <w:sz w:val="18"/>
                <w:szCs w:val="18"/>
                <w:lang w:val="it-CH"/>
              </w:rPr>
              <w:t xml:space="preserve"> 1 dhe 4, </w:t>
            </w:r>
            <w:r w:rsidR="005B0824" w:rsidRPr="00556412">
              <w:rPr>
                <w:rFonts w:ascii="Times New Roman" w:eastAsia="Calibri" w:hAnsi="Times New Roman" w:cs="Times New Roman"/>
                <w:sz w:val="18"/>
                <w:szCs w:val="18"/>
                <w:lang w:val="it-CH"/>
              </w:rPr>
              <w:t>t</w:t>
            </w:r>
            <w:r w:rsidR="00CD309C">
              <w:rPr>
                <w:rFonts w:ascii="Times New Roman" w:eastAsia="Calibri" w:hAnsi="Times New Roman" w:cs="Times New Roman"/>
                <w:sz w:val="18"/>
                <w:szCs w:val="18"/>
                <w:lang w:val="it-CH"/>
              </w:rPr>
              <w:t>ë</w:t>
            </w:r>
            <w:r w:rsidR="005B0824" w:rsidRPr="00556412">
              <w:rPr>
                <w:rFonts w:ascii="Times New Roman" w:eastAsia="Calibri" w:hAnsi="Times New Roman" w:cs="Times New Roman"/>
                <w:sz w:val="18"/>
                <w:szCs w:val="18"/>
                <w:lang w:val="it-CH"/>
              </w:rPr>
              <w:t xml:space="preserve"> k</w:t>
            </w:r>
            <w:r w:rsidR="00CD309C">
              <w:rPr>
                <w:rFonts w:ascii="Times New Roman" w:eastAsia="Calibri" w:hAnsi="Times New Roman" w:cs="Times New Roman"/>
                <w:sz w:val="18"/>
                <w:szCs w:val="18"/>
                <w:lang w:val="it-CH"/>
              </w:rPr>
              <w:t>ë</w:t>
            </w:r>
            <w:r w:rsidR="005B0824" w:rsidRPr="00556412">
              <w:rPr>
                <w:rFonts w:ascii="Times New Roman" w:eastAsia="Calibri" w:hAnsi="Times New Roman" w:cs="Times New Roman"/>
                <w:sz w:val="18"/>
                <w:szCs w:val="18"/>
                <w:lang w:val="it-CH"/>
              </w:rPr>
              <w:t xml:space="preserve">tij neni </w:t>
            </w:r>
            <w:r w:rsidRPr="00556412">
              <w:rPr>
                <w:rFonts w:ascii="Times New Roman" w:eastAsia="Calibri" w:hAnsi="Times New Roman" w:cs="Times New Roman"/>
                <w:sz w:val="18"/>
                <w:szCs w:val="18"/>
                <w:lang w:val="it-CH"/>
              </w:rPr>
              <w:t>dhe sipas rastit grupin e personave të cilit i përket;</w:t>
            </w:r>
          </w:p>
          <w:p w14:paraId="3A720D1F" w14:textId="699B4669" w:rsidR="00E336AC" w:rsidRPr="00556412" w:rsidRDefault="00E336AC" w:rsidP="00556412">
            <w:pPr>
              <w:spacing w:line="240" w:lineRule="atLeast"/>
              <w:jc w:val="both"/>
              <w:rPr>
                <w:rFonts w:ascii="Times New Roman" w:eastAsia="Calibri" w:hAnsi="Times New Roman" w:cs="Times New Roman"/>
                <w:sz w:val="18"/>
                <w:szCs w:val="18"/>
                <w:lang w:val="it-CH"/>
              </w:rPr>
            </w:pPr>
            <w:r w:rsidRPr="00556412">
              <w:rPr>
                <w:rFonts w:ascii="Times New Roman" w:eastAsia="Calibri" w:hAnsi="Times New Roman" w:cs="Times New Roman"/>
                <w:sz w:val="18"/>
                <w:szCs w:val="18"/>
                <w:lang w:val="it-CH"/>
              </w:rPr>
              <w:lastRenderedPageBreak/>
              <w:t>b)</w:t>
            </w:r>
            <w:r w:rsidR="000957A0" w:rsidRPr="00556412">
              <w:rPr>
                <w:rFonts w:ascii="Times New Roman" w:eastAsia="Calibri" w:hAnsi="Times New Roman" w:cs="Times New Roman"/>
                <w:sz w:val="18"/>
                <w:szCs w:val="18"/>
                <w:lang w:val="it-CH"/>
              </w:rPr>
              <w:t xml:space="preserve"> </w:t>
            </w:r>
            <w:r w:rsidRPr="00556412">
              <w:rPr>
                <w:rFonts w:ascii="Times New Roman" w:eastAsia="Calibri" w:hAnsi="Times New Roman" w:cs="Times New Roman"/>
                <w:sz w:val="18"/>
                <w:szCs w:val="18"/>
                <w:lang w:val="it-CH"/>
              </w:rPr>
              <w:t>një përmbledhje e vendimit/ Marrëveshja Çmimit në Avancë, duke përfshirë një përshkrim të aktiviteteve ose transaksioneve përkatëse të biznesit ose serisë së transaksioneve dhe çdo informacion tjetër që ndihmo</w:t>
            </w:r>
            <w:r w:rsidR="00D7411C" w:rsidRPr="00556412">
              <w:rPr>
                <w:rFonts w:ascii="Times New Roman" w:eastAsia="Calibri" w:hAnsi="Times New Roman" w:cs="Times New Roman"/>
                <w:sz w:val="18"/>
                <w:szCs w:val="18"/>
                <w:lang w:val="it-CH"/>
              </w:rPr>
              <w:t>n</w:t>
            </w:r>
            <w:r w:rsidRPr="00556412">
              <w:rPr>
                <w:rFonts w:ascii="Times New Roman" w:eastAsia="Calibri" w:hAnsi="Times New Roman" w:cs="Times New Roman"/>
                <w:sz w:val="18"/>
                <w:szCs w:val="18"/>
                <w:lang w:val="it-CH"/>
              </w:rPr>
              <w:t xml:space="preserve"> autoritetin kompetent në vlerësimin e një risku të mundshëm tatimor, pa çuar në zbulimin e një sekreti tregtar, industrial ose profesional ose të një procesi tregtar, ose të informacionit, zbulimi i të cilit do të ishte në kundërshtim me rendin publik;</w:t>
            </w:r>
          </w:p>
          <w:p w14:paraId="446E400B" w14:textId="35D35D7A" w:rsidR="00E336AC" w:rsidRPr="00556412" w:rsidRDefault="00E336AC" w:rsidP="00556412">
            <w:pPr>
              <w:spacing w:line="240" w:lineRule="atLeast"/>
              <w:jc w:val="both"/>
              <w:rPr>
                <w:rFonts w:ascii="Times New Roman" w:eastAsia="Calibri" w:hAnsi="Times New Roman" w:cs="Times New Roman"/>
                <w:sz w:val="18"/>
                <w:szCs w:val="18"/>
                <w:lang w:val="it-CH"/>
              </w:rPr>
            </w:pPr>
            <w:r w:rsidRPr="00556412">
              <w:rPr>
                <w:rFonts w:ascii="Times New Roman" w:eastAsia="Calibri" w:hAnsi="Times New Roman" w:cs="Times New Roman"/>
                <w:sz w:val="18"/>
                <w:szCs w:val="18"/>
                <w:lang w:val="it-CH"/>
              </w:rPr>
              <w:t>c)</w:t>
            </w:r>
            <w:r w:rsidR="000957A0" w:rsidRPr="00556412">
              <w:rPr>
                <w:rFonts w:ascii="Times New Roman" w:eastAsia="Calibri" w:hAnsi="Times New Roman" w:cs="Times New Roman"/>
                <w:sz w:val="18"/>
                <w:szCs w:val="18"/>
                <w:lang w:val="it-CH"/>
              </w:rPr>
              <w:t xml:space="preserve"> </w:t>
            </w:r>
            <w:r w:rsidRPr="00556412">
              <w:rPr>
                <w:rFonts w:ascii="Times New Roman" w:eastAsia="Calibri" w:hAnsi="Times New Roman" w:cs="Times New Roman"/>
                <w:sz w:val="18"/>
                <w:szCs w:val="18"/>
                <w:lang w:val="it-CH"/>
              </w:rPr>
              <w:t>datat e lëshimit, ndryshimit ose rinovimit të vendimit paraprak ndërkufitar ose marrëveshjes së çmimit në avancë;</w:t>
            </w:r>
          </w:p>
          <w:p w14:paraId="549BC168" w14:textId="66659970" w:rsidR="00E336AC" w:rsidRPr="00556412" w:rsidRDefault="00E336AC" w:rsidP="00556412">
            <w:pPr>
              <w:spacing w:line="240" w:lineRule="atLeast"/>
              <w:jc w:val="both"/>
              <w:rPr>
                <w:rFonts w:ascii="Times New Roman" w:eastAsia="Calibri" w:hAnsi="Times New Roman" w:cs="Times New Roman"/>
                <w:sz w:val="18"/>
                <w:szCs w:val="18"/>
                <w:lang w:val="it-CH"/>
              </w:rPr>
            </w:pPr>
            <w:r w:rsidRPr="00556412">
              <w:rPr>
                <w:rFonts w:ascii="Times New Roman" w:eastAsia="Calibri" w:hAnsi="Times New Roman" w:cs="Times New Roman"/>
                <w:sz w:val="18"/>
                <w:szCs w:val="18"/>
                <w:lang w:val="it-CH"/>
              </w:rPr>
              <w:t>d)</w:t>
            </w:r>
            <w:r w:rsidR="000957A0" w:rsidRPr="00556412">
              <w:rPr>
                <w:rFonts w:ascii="Times New Roman" w:eastAsia="Calibri" w:hAnsi="Times New Roman" w:cs="Times New Roman"/>
                <w:sz w:val="18"/>
                <w:szCs w:val="18"/>
                <w:lang w:val="it-CH"/>
              </w:rPr>
              <w:t xml:space="preserve"> </w:t>
            </w:r>
            <w:r w:rsidRPr="00556412">
              <w:rPr>
                <w:rFonts w:ascii="Times New Roman" w:eastAsia="Calibri" w:hAnsi="Times New Roman" w:cs="Times New Roman"/>
                <w:sz w:val="18"/>
                <w:szCs w:val="18"/>
                <w:lang w:val="it-CH"/>
              </w:rPr>
              <w:t xml:space="preserve">data e fillimit të periudhës së vlefshmërisë së vendimit paraprak ndërkufitar/ Marrëveshja Çmimit në Avancë, </w:t>
            </w:r>
            <w:r w:rsidR="00D7411C" w:rsidRPr="00556412">
              <w:rPr>
                <w:rFonts w:ascii="Times New Roman" w:eastAsia="Calibri" w:hAnsi="Times New Roman" w:cs="Times New Roman"/>
                <w:sz w:val="18"/>
                <w:szCs w:val="18"/>
                <w:lang w:val="it-CH"/>
              </w:rPr>
              <w:t xml:space="preserve">kur </w:t>
            </w:r>
            <w:r w:rsidR="00CD309C">
              <w:rPr>
                <w:rFonts w:ascii="Times New Roman" w:eastAsia="Calibri" w:hAnsi="Times New Roman" w:cs="Times New Roman"/>
                <w:sz w:val="18"/>
                <w:szCs w:val="18"/>
                <w:lang w:val="it-CH"/>
              </w:rPr>
              <w:t>ë</w:t>
            </w:r>
            <w:r w:rsidR="00D7411C" w:rsidRPr="00556412">
              <w:rPr>
                <w:rFonts w:ascii="Times New Roman" w:eastAsia="Calibri" w:hAnsi="Times New Roman" w:cs="Times New Roman"/>
                <w:sz w:val="18"/>
                <w:szCs w:val="18"/>
                <w:lang w:val="it-CH"/>
              </w:rPr>
              <w:t>sht</w:t>
            </w:r>
            <w:r w:rsidR="00CD309C">
              <w:rPr>
                <w:rFonts w:ascii="Times New Roman" w:eastAsia="Calibri" w:hAnsi="Times New Roman" w:cs="Times New Roman"/>
                <w:sz w:val="18"/>
                <w:szCs w:val="18"/>
                <w:lang w:val="it-CH"/>
              </w:rPr>
              <w:t>ë</w:t>
            </w:r>
            <w:r w:rsidR="00D7411C" w:rsidRPr="00556412">
              <w:rPr>
                <w:rFonts w:ascii="Times New Roman" w:eastAsia="Calibri" w:hAnsi="Times New Roman" w:cs="Times New Roman"/>
                <w:sz w:val="18"/>
                <w:szCs w:val="18"/>
                <w:lang w:val="it-CH"/>
              </w:rPr>
              <w:t xml:space="preserve"> e p</w:t>
            </w:r>
            <w:r w:rsidR="00CD309C">
              <w:rPr>
                <w:rFonts w:ascii="Times New Roman" w:eastAsia="Calibri" w:hAnsi="Times New Roman" w:cs="Times New Roman"/>
                <w:sz w:val="18"/>
                <w:szCs w:val="18"/>
                <w:lang w:val="it-CH"/>
              </w:rPr>
              <w:t>ë</w:t>
            </w:r>
            <w:r w:rsidR="00D7411C" w:rsidRPr="00556412">
              <w:rPr>
                <w:rFonts w:ascii="Times New Roman" w:eastAsia="Calibri" w:hAnsi="Times New Roman" w:cs="Times New Roman"/>
                <w:sz w:val="18"/>
                <w:szCs w:val="18"/>
                <w:lang w:val="it-CH"/>
              </w:rPr>
              <w:t>rcaktuar</w:t>
            </w:r>
            <w:r w:rsidRPr="00556412">
              <w:rPr>
                <w:rFonts w:ascii="Times New Roman" w:eastAsia="Calibri" w:hAnsi="Times New Roman" w:cs="Times New Roman"/>
                <w:sz w:val="18"/>
                <w:szCs w:val="18"/>
                <w:lang w:val="it-CH"/>
              </w:rPr>
              <w:t>;</w:t>
            </w:r>
          </w:p>
          <w:p w14:paraId="7657A3B2" w14:textId="56F1F056" w:rsidR="00E336AC" w:rsidRPr="00556412" w:rsidRDefault="00E336AC" w:rsidP="00556412">
            <w:pPr>
              <w:spacing w:line="240" w:lineRule="atLeast"/>
              <w:jc w:val="both"/>
              <w:rPr>
                <w:rFonts w:ascii="Times New Roman" w:eastAsia="Calibri" w:hAnsi="Times New Roman" w:cs="Times New Roman"/>
                <w:sz w:val="18"/>
                <w:szCs w:val="18"/>
                <w:lang w:val="it-CH"/>
              </w:rPr>
            </w:pPr>
            <w:r w:rsidRPr="00556412">
              <w:rPr>
                <w:rFonts w:ascii="Times New Roman" w:eastAsia="Calibri" w:hAnsi="Times New Roman" w:cs="Times New Roman"/>
                <w:sz w:val="18"/>
                <w:szCs w:val="18"/>
                <w:lang w:val="it-CH"/>
              </w:rPr>
              <w:t>e)</w:t>
            </w:r>
            <w:r w:rsidR="000957A0" w:rsidRPr="00556412">
              <w:rPr>
                <w:rFonts w:ascii="Times New Roman" w:eastAsia="Calibri" w:hAnsi="Times New Roman" w:cs="Times New Roman"/>
                <w:sz w:val="18"/>
                <w:szCs w:val="18"/>
                <w:lang w:val="it-CH"/>
              </w:rPr>
              <w:t xml:space="preserve"> </w:t>
            </w:r>
            <w:r w:rsidRPr="00556412">
              <w:rPr>
                <w:rFonts w:ascii="Times New Roman" w:eastAsia="Calibri" w:hAnsi="Times New Roman" w:cs="Times New Roman"/>
                <w:sz w:val="18"/>
                <w:szCs w:val="18"/>
                <w:lang w:val="it-CH"/>
              </w:rPr>
              <w:t xml:space="preserve">data e përfundimit të periudhës së vlefshmërisë së vendimit paraprak ndërkufitar/ Marrëveshja Çmimit në Avancë, </w:t>
            </w:r>
            <w:r w:rsidR="00D7411C" w:rsidRPr="00556412">
              <w:rPr>
                <w:rFonts w:ascii="Times New Roman" w:eastAsia="Calibri" w:hAnsi="Times New Roman" w:cs="Times New Roman"/>
                <w:sz w:val="18"/>
                <w:szCs w:val="18"/>
                <w:lang w:val="it-CH"/>
              </w:rPr>
              <w:t xml:space="preserve">kur </w:t>
            </w:r>
            <w:r w:rsidR="00CD309C">
              <w:rPr>
                <w:rFonts w:ascii="Times New Roman" w:eastAsia="Calibri" w:hAnsi="Times New Roman" w:cs="Times New Roman"/>
                <w:sz w:val="18"/>
                <w:szCs w:val="18"/>
                <w:lang w:val="it-CH"/>
              </w:rPr>
              <w:t>ë</w:t>
            </w:r>
            <w:r w:rsidR="00D7411C" w:rsidRPr="00556412">
              <w:rPr>
                <w:rFonts w:ascii="Times New Roman" w:eastAsia="Calibri" w:hAnsi="Times New Roman" w:cs="Times New Roman"/>
                <w:sz w:val="18"/>
                <w:szCs w:val="18"/>
                <w:lang w:val="it-CH"/>
              </w:rPr>
              <w:t>sht</w:t>
            </w:r>
            <w:r w:rsidR="00CD309C">
              <w:rPr>
                <w:rFonts w:ascii="Times New Roman" w:eastAsia="Calibri" w:hAnsi="Times New Roman" w:cs="Times New Roman"/>
                <w:sz w:val="18"/>
                <w:szCs w:val="18"/>
                <w:lang w:val="it-CH"/>
              </w:rPr>
              <w:t>ë</w:t>
            </w:r>
            <w:r w:rsidR="00D7411C" w:rsidRPr="00556412">
              <w:rPr>
                <w:rFonts w:ascii="Times New Roman" w:eastAsia="Calibri" w:hAnsi="Times New Roman" w:cs="Times New Roman"/>
                <w:sz w:val="18"/>
                <w:szCs w:val="18"/>
                <w:lang w:val="it-CH"/>
              </w:rPr>
              <w:t xml:space="preserve"> e p</w:t>
            </w:r>
            <w:r w:rsidR="00CD309C">
              <w:rPr>
                <w:rFonts w:ascii="Times New Roman" w:eastAsia="Calibri" w:hAnsi="Times New Roman" w:cs="Times New Roman"/>
                <w:sz w:val="18"/>
                <w:szCs w:val="18"/>
                <w:lang w:val="it-CH"/>
              </w:rPr>
              <w:t>ë</w:t>
            </w:r>
            <w:r w:rsidR="00D7411C" w:rsidRPr="00556412">
              <w:rPr>
                <w:rFonts w:ascii="Times New Roman" w:eastAsia="Calibri" w:hAnsi="Times New Roman" w:cs="Times New Roman"/>
                <w:sz w:val="18"/>
                <w:szCs w:val="18"/>
                <w:lang w:val="it-CH"/>
              </w:rPr>
              <w:t>rcaktuar</w:t>
            </w:r>
            <w:r w:rsidRPr="00556412">
              <w:rPr>
                <w:rFonts w:ascii="Times New Roman" w:eastAsia="Calibri" w:hAnsi="Times New Roman" w:cs="Times New Roman"/>
                <w:sz w:val="18"/>
                <w:szCs w:val="18"/>
                <w:lang w:val="it-CH"/>
              </w:rPr>
              <w:t>;</w:t>
            </w:r>
          </w:p>
          <w:p w14:paraId="1B2FD99B" w14:textId="251A1B46" w:rsidR="00E336AC" w:rsidRPr="00556412" w:rsidRDefault="00E336AC" w:rsidP="00556412">
            <w:pPr>
              <w:spacing w:line="240" w:lineRule="atLeast"/>
              <w:jc w:val="both"/>
              <w:rPr>
                <w:rFonts w:ascii="Times New Roman" w:eastAsia="Calibri" w:hAnsi="Times New Roman" w:cs="Times New Roman"/>
                <w:sz w:val="18"/>
                <w:szCs w:val="18"/>
                <w:lang w:val="it-CH"/>
              </w:rPr>
            </w:pPr>
            <w:r w:rsidRPr="00556412">
              <w:rPr>
                <w:rFonts w:ascii="Times New Roman" w:eastAsia="Calibri" w:hAnsi="Times New Roman" w:cs="Times New Roman"/>
                <w:sz w:val="18"/>
                <w:szCs w:val="18"/>
                <w:lang w:val="it-CH"/>
              </w:rPr>
              <w:t>f)</w:t>
            </w:r>
            <w:r w:rsidR="000957A0" w:rsidRPr="00556412">
              <w:rPr>
                <w:rFonts w:ascii="Times New Roman" w:eastAsia="Calibri" w:hAnsi="Times New Roman" w:cs="Times New Roman"/>
                <w:sz w:val="18"/>
                <w:szCs w:val="18"/>
                <w:lang w:val="it-CH"/>
              </w:rPr>
              <w:t xml:space="preserve"> </w:t>
            </w:r>
            <w:r w:rsidRPr="00556412">
              <w:rPr>
                <w:rFonts w:ascii="Times New Roman" w:eastAsia="Calibri" w:hAnsi="Times New Roman" w:cs="Times New Roman"/>
                <w:sz w:val="18"/>
                <w:szCs w:val="18"/>
                <w:lang w:val="it-CH"/>
              </w:rPr>
              <w:t>lloji i vendimit paraprak ndërkufitar / Marrëveshje Çmimit në Avancë;</w:t>
            </w:r>
          </w:p>
          <w:p w14:paraId="15BBBF31" w14:textId="750F8090" w:rsidR="00E336AC" w:rsidRPr="00556412" w:rsidRDefault="00E336AC" w:rsidP="00556412">
            <w:pPr>
              <w:spacing w:line="240" w:lineRule="atLeast"/>
              <w:jc w:val="both"/>
              <w:rPr>
                <w:rFonts w:ascii="Times New Roman" w:eastAsia="Calibri" w:hAnsi="Times New Roman" w:cs="Times New Roman"/>
                <w:sz w:val="18"/>
                <w:szCs w:val="18"/>
                <w:lang w:val="it-CH"/>
              </w:rPr>
            </w:pPr>
            <w:r w:rsidRPr="00556412">
              <w:rPr>
                <w:rFonts w:ascii="Times New Roman" w:eastAsia="Calibri" w:hAnsi="Times New Roman" w:cs="Times New Roman"/>
                <w:sz w:val="18"/>
                <w:szCs w:val="18"/>
                <w:lang w:val="it-CH"/>
              </w:rPr>
              <w:t>g)</w:t>
            </w:r>
            <w:r w:rsidR="000957A0" w:rsidRPr="00556412">
              <w:rPr>
                <w:rFonts w:ascii="Times New Roman" w:eastAsia="Calibri" w:hAnsi="Times New Roman" w:cs="Times New Roman"/>
                <w:sz w:val="18"/>
                <w:szCs w:val="18"/>
                <w:lang w:val="it-CH"/>
              </w:rPr>
              <w:t xml:space="preserve"> </w:t>
            </w:r>
            <w:r w:rsidRPr="00556412">
              <w:rPr>
                <w:rFonts w:ascii="Times New Roman" w:eastAsia="Calibri" w:hAnsi="Times New Roman" w:cs="Times New Roman"/>
                <w:sz w:val="18"/>
                <w:szCs w:val="18"/>
                <w:lang w:val="it-CH"/>
              </w:rPr>
              <w:t>shuma e transaksionit ose serisë së transaksionit, nëse i referohet kësaj shume;</w:t>
            </w:r>
          </w:p>
          <w:p w14:paraId="5EA270E6" w14:textId="40B47186" w:rsidR="00E336AC" w:rsidRPr="00556412" w:rsidRDefault="00E336AC" w:rsidP="00556412">
            <w:pPr>
              <w:spacing w:line="240" w:lineRule="atLeast"/>
              <w:jc w:val="both"/>
              <w:rPr>
                <w:rFonts w:ascii="Times New Roman" w:eastAsia="Calibri" w:hAnsi="Times New Roman" w:cs="Times New Roman"/>
                <w:sz w:val="18"/>
                <w:szCs w:val="18"/>
                <w:lang w:val="it-CH"/>
              </w:rPr>
            </w:pPr>
            <w:r w:rsidRPr="00556412">
              <w:rPr>
                <w:rFonts w:ascii="Times New Roman" w:eastAsia="Calibri" w:hAnsi="Times New Roman" w:cs="Times New Roman"/>
                <w:sz w:val="18"/>
                <w:szCs w:val="18"/>
                <w:lang w:val="it-CH"/>
              </w:rPr>
              <w:t>h)</w:t>
            </w:r>
            <w:r w:rsidR="000957A0" w:rsidRPr="00556412">
              <w:rPr>
                <w:rFonts w:ascii="Times New Roman" w:eastAsia="Calibri" w:hAnsi="Times New Roman" w:cs="Times New Roman"/>
                <w:sz w:val="18"/>
                <w:szCs w:val="18"/>
                <w:lang w:val="it-CH"/>
              </w:rPr>
              <w:t xml:space="preserve"> </w:t>
            </w:r>
            <w:r w:rsidR="00D7411C" w:rsidRPr="00556412">
              <w:rPr>
                <w:rFonts w:ascii="Times New Roman" w:hAnsi="Times New Roman" w:cs="Times New Roman"/>
                <w:sz w:val="18"/>
                <w:szCs w:val="18"/>
                <w:lang w:val="sq-AL"/>
              </w:rPr>
              <w:t>në rastin e marrëveshjeve të çmimit në avancë, përshkrimin e kritereve dhe metodologjisë së përdorur për përcaktimin e çmimit të transferimit</w:t>
            </w:r>
            <w:r w:rsidRPr="00556412">
              <w:rPr>
                <w:rFonts w:ascii="Times New Roman" w:eastAsia="Calibri" w:hAnsi="Times New Roman" w:cs="Times New Roman"/>
                <w:sz w:val="18"/>
                <w:szCs w:val="18"/>
                <w:lang w:val="it-CH"/>
              </w:rPr>
              <w:t>;</w:t>
            </w:r>
          </w:p>
          <w:p w14:paraId="18D206F1" w14:textId="3EF71C3C" w:rsidR="00E336AC" w:rsidRPr="00556412" w:rsidRDefault="00E336AC" w:rsidP="00556412">
            <w:pPr>
              <w:spacing w:line="240" w:lineRule="atLeast"/>
              <w:jc w:val="both"/>
              <w:rPr>
                <w:rFonts w:ascii="Times New Roman" w:eastAsia="Calibri" w:hAnsi="Times New Roman" w:cs="Times New Roman"/>
                <w:sz w:val="18"/>
                <w:szCs w:val="18"/>
                <w:lang w:val="it-CH"/>
              </w:rPr>
            </w:pPr>
            <w:r w:rsidRPr="00556412">
              <w:rPr>
                <w:rFonts w:ascii="Times New Roman" w:eastAsia="Calibri" w:hAnsi="Times New Roman" w:cs="Times New Roman"/>
                <w:sz w:val="18"/>
                <w:szCs w:val="18"/>
                <w:lang w:val="it-CH"/>
              </w:rPr>
              <w:t>i)</w:t>
            </w:r>
            <w:r w:rsidR="000957A0" w:rsidRPr="00556412">
              <w:rPr>
                <w:rFonts w:ascii="Times New Roman" w:eastAsia="Calibri" w:hAnsi="Times New Roman" w:cs="Times New Roman"/>
                <w:sz w:val="18"/>
                <w:szCs w:val="18"/>
                <w:lang w:val="it-CH"/>
              </w:rPr>
              <w:t xml:space="preserve"> </w:t>
            </w:r>
            <w:r w:rsidRPr="00556412">
              <w:rPr>
                <w:rFonts w:ascii="Times New Roman" w:eastAsia="Calibri" w:hAnsi="Times New Roman" w:cs="Times New Roman"/>
                <w:sz w:val="18"/>
                <w:szCs w:val="18"/>
                <w:lang w:val="it-CH"/>
              </w:rPr>
              <w:t>identifikimin e metodës së përdorur për përcaktimin e transferimit, në rastin e një marrëveshjeje të çmimit në avancë;</w:t>
            </w:r>
          </w:p>
          <w:p w14:paraId="4C6107CB" w14:textId="75D45D2F" w:rsidR="00E336AC" w:rsidRPr="00556412" w:rsidRDefault="00E336AC" w:rsidP="00556412">
            <w:pPr>
              <w:spacing w:line="240" w:lineRule="atLeast"/>
              <w:jc w:val="both"/>
              <w:rPr>
                <w:rFonts w:ascii="Times New Roman" w:eastAsia="Calibri" w:hAnsi="Times New Roman" w:cs="Times New Roman"/>
                <w:sz w:val="18"/>
                <w:szCs w:val="18"/>
                <w:lang w:val="it-CH"/>
              </w:rPr>
            </w:pPr>
            <w:r w:rsidRPr="00556412">
              <w:rPr>
                <w:rFonts w:ascii="Times New Roman" w:eastAsia="Calibri" w:hAnsi="Times New Roman" w:cs="Times New Roman"/>
                <w:sz w:val="18"/>
                <w:szCs w:val="18"/>
                <w:lang w:val="it-CH"/>
              </w:rPr>
              <w:t>j)</w:t>
            </w:r>
            <w:r w:rsidR="000957A0" w:rsidRPr="00556412">
              <w:rPr>
                <w:rFonts w:ascii="Times New Roman" w:eastAsia="Calibri" w:hAnsi="Times New Roman" w:cs="Times New Roman"/>
                <w:sz w:val="18"/>
                <w:szCs w:val="18"/>
                <w:lang w:val="it-CH"/>
              </w:rPr>
              <w:t xml:space="preserve"> </w:t>
            </w:r>
            <w:r w:rsidRPr="00556412">
              <w:rPr>
                <w:rFonts w:ascii="Times New Roman" w:eastAsia="Calibri" w:hAnsi="Times New Roman" w:cs="Times New Roman"/>
                <w:sz w:val="18"/>
                <w:szCs w:val="18"/>
                <w:lang w:val="it-CH"/>
              </w:rPr>
              <w:t>identifikimin e shteteve anëtare nëse ka, që mund të preken nga vendimi paraprak me efekt ndërkufitar ose nga Marrëveshja Çmimit në Avancë</w:t>
            </w:r>
          </w:p>
          <w:p w14:paraId="4174D215" w14:textId="7C2C6173" w:rsidR="00E336AC" w:rsidRPr="00556412" w:rsidRDefault="00E336AC" w:rsidP="00556412">
            <w:pPr>
              <w:spacing w:line="240" w:lineRule="atLeast"/>
              <w:jc w:val="both"/>
              <w:rPr>
                <w:rFonts w:ascii="Times New Roman" w:eastAsia="Calibri" w:hAnsi="Times New Roman" w:cs="Times New Roman"/>
                <w:sz w:val="18"/>
                <w:szCs w:val="18"/>
                <w:lang w:val="it-CH"/>
              </w:rPr>
            </w:pPr>
            <w:r w:rsidRPr="00556412">
              <w:rPr>
                <w:rFonts w:ascii="Times New Roman" w:eastAsia="Calibri" w:hAnsi="Times New Roman" w:cs="Times New Roman"/>
                <w:sz w:val="18"/>
                <w:szCs w:val="18"/>
                <w:lang w:val="it-CH"/>
              </w:rPr>
              <w:t>k)</w:t>
            </w:r>
            <w:r w:rsidR="000957A0" w:rsidRPr="00556412">
              <w:rPr>
                <w:rFonts w:ascii="Times New Roman" w:eastAsia="Calibri" w:hAnsi="Times New Roman" w:cs="Times New Roman"/>
                <w:sz w:val="18"/>
                <w:szCs w:val="18"/>
                <w:lang w:val="it-CH"/>
              </w:rPr>
              <w:t xml:space="preserve"> </w:t>
            </w:r>
            <w:r w:rsidRPr="00556412">
              <w:rPr>
                <w:rFonts w:ascii="Times New Roman" w:eastAsia="Calibri" w:hAnsi="Times New Roman" w:cs="Times New Roman"/>
                <w:sz w:val="18"/>
                <w:szCs w:val="18"/>
                <w:lang w:val="it-CH"/>
              </w:rPr>
              <w:t>identifikimin e çdo personi, përvec një personi fizik, me përjashtim të rasteve kur vendimi paraprak ndërkufitar ka të bëjë me një person fizik dhe do të komunikohet në përputhje me p</w:t>
            </w:r>
            <w:r w:rsidR="005B0824" w:rsidRPr="00556412">
              <w:rPr>
                <w:rFonts w:ascii="Times New Roman" w:eastAsia="Calibri" w:hAnsi="Times New Roman" w:cs="Times New Roman"/>
                <w:sz w:val="18"/>
                <w:szCs w:val="18"/>
                <w:lang w:val="it-CH"/>
              </w:rPr>
              <w:t>ikat</w:t>
            </w:r>
            <w:r w:rsidRPr="00556412">
              <w:rPr>
                <w:rFonts w:ascii="Times New Roman" w:eastAsia="Calibri" w:hAnsi="Times New Roman" w:cs="Times New Roman"/>
                <w:sz w:val="18"/>
                <w:szCs w:val="18"/>
                <w:lang w:val="it-CH"/>
              </w:rPr>
              <w:t xml:space="preserve"> 1 dhe 4</w:t>
            </w:r>
            <w:r w:rsidR="005B0824" w:rsidRPr="00556412">
              <w:rPr>
                <w:rFonts w:ascii="Times New Roman" w:eastAsia="Calibri" w:hAnsi="Times New Roman" w:cs="Times New Roman"/>
                <w:sz w:val="18"/>
                <w:szCs w:val="18"/>
                <w:lang w:val="it-CH"/>
              </w:rPr>
              <w:t xml:space="preserve"> t</w:t>
            </w:r>
            <w:r w:rsidR="00CD309C">
              <w:rPr>
                <w:rFonts w:ascii="Times New Roman" w:eastAsia="Calibri" w:hAnsi="Times New Roman" w:cs="Times New Roman"/>
                <w:sz w:val="18"/>
                <w:szCs w:val="18"/>
                <w:lang w:val="it-CH"/>
              </w:rPr>
              <w:t>ë</w:t>
            </w:r>
            <w:r w:rsidR="005B0824" w:rsidRPr="00556412">
              <w:rPr>
                <w:rFonts w:ascii="Times New Roman" w:eastAsia="Calibri" w:hAnsi="Times New Roman" w:cs="Times New Roman"/>
                <w:sz w:val="18"/>
                <w:szCs w:val="18"/>
                <w:lang w:val="it-CH"/>
              </w:rPr>
              <w:t xml:space="preserve"> k</w:t>
            </w:r>
            <w:r w:rsidR="00CD309C">
              <w:rPr>
                <w:rFonts w:ascii="Times New Roman" w:eastAsia="Calibri" w:hAnsi="Times New Roman" w:cs="Times New Roman"/>
                <w:sz w:val="18"/>
                <w:szCs w:val="18"/>
                <w:lang w:val="it-CH"/>
              </w:rPr>
              <w:t>ë</w:t>
            </w:r>
            <w:r w:rsidR="005B0824" w:rsidRPr="00556412">
              <w:rPr>
                <w:rFonts w:ascii="Times New Roman" w:eastAsia="Calibri" w:hAnsi="Times New Roman" w:cs="Times New Roman"/>
                <w:sz w:val="18"/>
                <w:szCs w:val="18"/>
                <w:lang w:val="it-CH"/>
              </w:rPr>
              <w:t>tij neni</w:t>
            </w:r>
            <w:r w:rsidRPr="00556412">
              <w:rPr>
                <w:rFonts w:ascii="Times New Roman" w:eastAsia="Calibri" w:hAnsi="Times New Roman" w:cs="Times New Roman"/>
                <w:sz w:val="18"/>
                <w:szCs w:val="18"/>
                <w:lang w:val="it-CH"/>
              </w:rPr>
              <w:t xml:space="preserve">, në shtetet e tjera anëtare, nëse ka, që ka të ngjarë të ndikohet nga vendimi paraprak ndërkufitar ose </w:t>
            </w:r>
            <w:r w:rsidRPr="00556412">
              <w:rPr>
                <w:rFonts w:ascii="Times New Roman" w:eastAsia="Calibri" w:hAnsi="Times New Roman" w:cs="Times New Roman"/>
                <w:sz w:val="18"/>
                <w:szCs w:val="18"/>
                <w:lang w:val="it-CH"/>
              </w:rPr>
              <w:lastRenderedPageBreak/>
              <w:t>Marrëveshja Çmimit në Avancë</w:t>
            </w:r>
            <w:r w:rsidR="000957A0" w:rsidRPr="00556412">
              <w:rPr>
                <w:rFonts w:ascii="Times New Roman" w:eastAsia="Calibri" w:hAnsi="Times New Roman" w:cs="Times New Roman"/>
                <w:sz w:val="18"/>
                <w:szCs w:val="18"/>
                <w:lang w:val="it-CH"/>
              </w:rPr>
              <w:t xml:space="preserve"> </w:t>
            </w:r>
            <w:r w:rsidRPr="00556412">
              <w:rPr>
                <w:rFonts w:ascii="Times New Roman" w:eastAsia="Calibri" w:hAnsi="Times New Roman" w:cs="Times New Roman"/>
                <w:sz w:val="18"/>
                <w:szCs w:val="18"/>
                <w:lang w:val="it-CH"/>
              </w:rPr>
              <w:t xml:space="preserve">(duke treguar se me cilat shtete anëtare janë të lidhur personat e prekur); dhe </w:t>
            </w:r>
          </w:p>
          <w:p w14:paraId="23D671C6" w14:textId="36A3C324" w:rsidR="00905100" w:rsidRPr="00556412" w:rsidRDefault="00905100" w:rsidP="00556412">
            <w:pPr>
              <w:spacing w:line="240" w:lineRule="atLeast"/>
              <w:ind w:left="720"/>
              <w:jc w:val="both"/>
              <w:rPr>
                <w:rFonts w:ascii="Times New Roman" w:eastAsia="Calibri" w:hAnsi="Times New Roman" w:cs="Times New Roman"/>
                <w:sz w:val="18"/>
                <w:szCs w:val="18"/>
                <w:lang w:val="it-CH"/>
              </w:rPr>
            </w:pPr>
            <w:r w:rsidRPr="00556412">
              <w:rPr>
                <w:rFonts w:ascii="Times New Roman" w:eastAsia="Calibri" w:hAnsi="Times New Roman" w:cs="Times New Roman"/>
                <w:sz w:val="18"/>
                <w:szCs w:val="18"/>
                <w:lang w:val="it-CH"/>
              </w:rPr>
              <w:t>l)</w:t>
            </w:r>
            <w:r w:rsidR="000957A0" w:rsidRPr="00556412">
              <w:rPr>
                <w:rFonts w:ascii="Times New Roman" w:eastAsia="Calibri" w:hAnsi="Times New Roman" w:cs="Times New Roman"/>
                <w:sz w:val="18"/>
                <w:szCs w:val="18"/>
                <w:lang w:val="it-CH"/>
              </w:rPr>
              <w:t xml:space="preserve"> </w:t>
            </w:r>
            <w:r w:rsidR="00D7411C" w:rsidRPr="00556412">
              <w:rPr>
                <w:rFonts w:ascii="Times New Roman" w:hAnsi="Times New Roman" w:cs="Times New Roman"/>
                <w:sz w:val="18"/>
                <w:szCs w:val="18"/>
                <w:lang w:val="sq-AL"/>
              </w:rPr>
              <w:t>treguesin  nëse informacioni i komunikuar bazohet në vetë vendimin paraprak ndërkufitar ose në marrëveshjen për transferimin e çmimit në avancë ose sipas  përcaktimeve  të shkronj</w:t>
            </w:r>
            <w:r w:rsidR="00CD309C">
              <w:rPr>
                <w:rFonts w:ascii="Times New Roman" w:hAnsi="Times New Roman" w:cs="Times New Roman"/>
                <w:sz w:val="18"/>
                <w:szCs w:val="18"/>
                <w:lang w:val="sq-AL"/>
              </w:rPr>
              <w:t>ë</w:t>
            </w:r>
            <w:r w:rsidR="00D7411C" w:rsidRPr="00556412">
              <w:rPr>
                <w:rFonts w:ascii="Times New Roman" w:hAnsi="Times New Roman" w:cs="Times New Roman"/>
                <w:sz w:val="18"/>
                <w:szCs w:val="18"/>
                <w:lang w:val="sq-AL"/>
              </w:rPr>
              <w:t>s “f” t</w:t>
            </w:r>
            <w:r w:rsidR="00CD309C">
              <w:rPr>
                <w:rFonts w:ascii="Times New Roman" w:hAnsi="Times New Roman" w:cs="Times New Roman"/>
                <w:sz w:val="18"/>
                <w:szCs w:val="18"/>
                <w:lang w:val="sq-AL"/>
              </w:rPr>
              <w:t>ë</w:t>
            </w:r>
            <w:r w:rsidR="00D7411C" w:rsidRPr="00556412">
              <w:rPr>
                <w:rFonts w:ascii="Times New Roman" w:hAnsi="Times New Roman" w:cs="Times New Roman"/>
                <w:sz w:val="18"/>
                <w:szCs w:val="18"/>
                <w:lang w:val="sq-AL"/>
              </w:rPr>
              <w:t xml:space="preserve"> nenit 3</w:t>
            </w:r>
          </w:p>
          <w:p w14:paraId="0ABF3CEB" w14:textId="77777777" w:rsidR="00905100" w:rsidRPr="00556412" w:rsidRDefault="00905100" w:rsidP="00556412">
            <w:pPr>
              <w:spacing w:line="240" w:lineRule="atLeast"/>
              <w:ind w:left="720"/>
              <w:jc w:val="both"/>
              <w:rPr>
                <w:rFonts w:ascii="Times New Roman" w:eastAsia="Calibri" w:hAnsi="Times New Roman" w:cs="Times New Roman"/>
                <w:sz w:val="18"/>
                <w:szCs w:val="18"/>
                <w:lang w:val="it-CH"/>
              </w:rPr>
            </w:pPr>
          </w:p>
          <w:p w14:paraId="1602C297" w14:textId="078E507F" w:rsidR="00E336AC" w:rsidRPr="00556412" w:rsidRDefault="00905100" w:rsidP="00556412">
            <w:pPr>
              <w:spacing w:line="240" w:lineRule="atLeast"/>
              <w:jc w:val="both"/>
              <w:rPr>
                <w:rFonts w:ascii="Times New Roman" w:eastAsia="Calibri" w:hAnsi="Times New Roman" w:cs="Times New Roman"/>
                <w:sz w:val="18"/>
                <w:szCs w:val="18"/>
                <w:lang w:val="it-CH"/>
              </w:rPr>
            </w:pPr>
            <w:r w:rsidRPr="00556412">
              <w:rPr>
                <w:rFonts w:ascii="Times New Roman" w:eastAsia="Calibri" w:hAnsi="Times New Roman" w:cs="Times New Roman"/>
                <w:sz w:val="18"/>
                <w:szCs w:val="18"/>
                <w:lang w:val="it-CH"/>
              </w:rPr>
              <w:t>2</w:t>
            </w:r>
            <w:r w:rsidR="00E336AC" w:rsidRPr="00556412">
              <w:rPr>
                <w:rFonts w:ascii="Times New Roman" w:eastAsia="Calibri" w:hAnsi="Times New Roman" w:cs="Times New Roman"/>
                <w:sz w:val="18"/>
                <w:szCs w:val="18"/>
                <w:lang w:val="it-CH"/>
              </w:rPr>
              <w:t>.</w:t>
            </w:r>
            <w:r w:rsidR="004226BF" w:rsidRPr="00556412">
              <w:rPr>
                <w:rFonts w:ascii="Times New Roman" w:eastAsia="Calibri" w:hAnsi="Times New Roman" w:cs="Times New Roman"/>
                <w:sz w:val="18"/>
                <w:szCs w:val="18"/>
                <w:lang w:val="it-CH"/>
              </w:rPr>
              <w:t xml:space="preserve"> </w:t>
            </w:r>
            <w:r w:rsidR="00E336AC" w:rsidRPr="00556412">
              <w:rPr>
                <w:rFonts w:ascii="Times New Roman" w:eastAsia="Calibri" w:hAnsi="Times New Roman" w:cs="Times New Roman"/>
                <w:sz w:val="18"/>
                <w:szCs w:val="18"/>
                <w:lang w:val="it-CH"/>
              </w:rPr>
              <w:t xml:space="preserve">Për periudhat tatimore që fillojnë në ose pas datës së zbatimit të këtij ligji, Drejtoria e Përgjithshme e Tatimeve përfshin, kur është e mundur, TIN-të e personave të identifikuar në </w:t>
            </w:r>
            <w:r w:rsidR="00DE0617" w:rsidRPr="00556412">
              <w:rPr>
                <w:rFonts w:ascii="Times New Roman" w:eastAsia="Calibri" w:hAnsi="Times New Roman" w:cs="Times New Roman"/>
                <w:sz w:val="18"/>
                <w:szCs w:val="18"/>
                <w:lang w:val="it-CH"/>
              </w:rPr>
              <w:t>shkronat</w:t>
            </w:r>
            <w:r w:rsidR="00E336AC" w:rsidRPr="00556412">
              <w:rPr>
                <w:rFonts w:ascii="Times New Roman" w:eastAsia="Calibri" w:hAnsi="Times New Roman" w:cs="Times New Roman"/>
                <w:sz w:val="18"/>
                <w:szCs w:val="18"/>
                <w:lang w:val="it-CH"/>
              </w:rPr>
              <w:t xml:space="preserve"> (a) dhe (k)</w:t>
            </w:r>
            <w:r w:rsidR="00DE0617" w:rsidRPr="00556412">
              <w:rPr>
                <w:rFonts w:ascii="Times New Roman" w:eastAsia="Calibri" w:hAnsi="Times New Roman" w:cs="Times New Roman"/>
                <w:sz w:val="18"/>
                <w:szCs w:val="18"/>
                <w:lang w:val="it-CH"/>
              </w:rPr>
              <w:t xml:space="preserve"> t</w:t>
            </w:r>
            <w:r w:rsidR="00CD309C">
              <w:rPr>
                <w:rFonts w:ascii="Times New Roman" w:eastAsia="Calibri" w:hAnsi="Times New Roman" w:cs="Times New Roman"/>
                <w:sz w:val="18"/>
                <w:szCs w:val="18"/>
                <w:lang w:val="it-CH"/>
              </w:rPr>
              <w:t>ë</w:t>
            </w:r>
            <w:r w:rsidR="00DE0617" w:rsidRPr="00556412">
              <w:rPr>
                <w:rFonts w:ascii="Times New Roman" w:eastAsia="Calibri" w:hAnsi="Times New Roman" w:cs="Times New Roman"/>
                <w:sz w:val="18"/>
                <w:szCs w:val="18"/>
                <w:lang w:val="it-CH"/>
              </w:rPr>
              <w:t xml:space="preserve"> pik</w:t>
            </w:r>
            <w:r w:rsidR="00CD309C">
              <w:rPr>
                <w:rFonts w:ascii="Times New Roman" w:eastAsia="Calibri" w:hAnsi="Times New Roman" w:cs="Times New Roman"/>
                <w:sz w:val="18"/>
                <w:szCs w:val="18"/>
                <w:lang w:val="it-CH"/>
              </w:rPr>
              <w:t>ë</w:t>
            </w:r>
            <w:r w:rsidR="00DE0617" w:rsidRPr="00556412">
              <w:rPr>
                <w:rFonts w:ascii="Times New Roman" w:eastAsia="Calibri" w:hAnsi="Times New Roman" w:cs="Times New Roman"/>
                <w:sz w:val="18"/>
                <w:szCs w:val="18"/>
                <w:lang w:val="it-CH"/>
              </w:rPr>
              <w:t>s 1 t</w:t>
            </w:r>
            <w:r w:rsidR="00CD309C">
              <w:rPr>
                <w:rFonts w:ascii="Times New Roman" w:eastAsia="Calibri" w:hAnsi="Times New Roman" w:cs="Times New Roman"/>
                <w:sz w:val="18"/>
                <w:szCs w:val="18"/>
                <w:lang w:val="it-CH"/>
              </w:rPr>
              <w:t>ë</w:t>
            </w:r>
            <w:r w:rsidR="00DE0617" w:rsidRPr="00556412">
              <w:rPr>
                <w:rFonts w:ascii="Times New Roman" w:eastAsia="Calibri" w:hAnsi="Times New Roman" w:cs="Times New Roman"/>
                <w:sz w:val="18"/>
                <w:szCs w:val="18"/>
                <w:lang w:val="it-CH"/>
              </w:rPr>
              <w:t xml:space="preserve"> k</w:t>
            </w:r>
            <w:r w:rsidR="00CD309C">
              <w:rPr>
                <w:rFonts w:ascii="Times New Roman" w:eastAsia="Calibri" w:hAnsi="Times New Roman" w:cs="Times New Roman"/>
                <w:sz w:val="18"/>
                <w:szCs w:val="18"/>
                <w:lang w:val="it-CH"/>
              </w:rPr>
              <w:t>ë</w:t>
            </w:r>
            <w:r w:rsidR="00DE0617" w:rsidRPr="00556412">
              <w:rPr>
                <w:rFonts w:ascii="Times New Roman" w:eastAsia="Calibri" w:hAnsi="Times New Roman" w:cs="Times New Roman"/>
                <w:sz w:val="18"/>
                <w:szCs w:val="18"/>
                <w:lang w:val="it-CH"/>
              </w:rPr>
              <w:t>tij neni</w:t>
            </w:r>
            <w:r w:rsidR="00E336AC" w:rsidRPr="00556412">
              <w:rPr>
                <w:rFonts w:ascii="Times New Roman" w:eastAsia="Calibri" w:hAnsi="Times New Roman" w:cs="Times New Roman"/>
                <w:sz w:val="18"/>
                <w:szCs w:val="18"/>
                <w:lang w:val="it-CH"/>
              </w:rPr>
              <w:t>.</w:t>
            </w:r>
          </w:p>
          <w:p w14:paraId="7D756BBF" w14:textId="77777777" w:rsidR="00905100" w:rsidRPr="00556412" w:rsidRDefault="00905100" w:rsidP="00556412">
            <w:pPr>
              <w:spacing w:line="240" w:lineRule="atLeast"/>
              <w:ind w:left="720"/>
              <w:jc w:val="both"/>
              <w:rPr>
                <w:rFonts w:ascii="Times New Roman" w:eastAsia="Calibri" w:hAnsi="Times New Roman" w:cs="Times New Roman"/>
                <w:sz w:val="18"/>
                <w:szCs w:val="18"/>
                <w:lang w:val="it-CH"/>
              </w:rPr>
            </w:pPr>
          </w:p>
          <w:p w14:paraId="5C32E16F" w14:textId="77777777" w:rsidR="00E336AC" w:rsidRPr="00556412" w:rsidRDefault="00E336AC" w:rsidP="00556412">
            <w:pPr>
              <w:spacing w:line="240" w:lineRule="atLeast"/>
              <w:ind w:left="720"/>
              <w:jc w:val="both"/>
              <w:rPr>
                <w:rFonts w:ascii="Times New Roman" w:eastAsia="Calibri" w:hAnsi="Times New Roman" w:cs="Times New Roman"/>
                <w:sz w:val="18"/>
                <w:szCs w:val="18"/>
                <w:lang w:val="it-CH"/>
              </w:rPr>
            </w:pPr>
          </w:p>
          <w:p w14:paraId="2C06A67A" w14:textId="77777777" w:rsidR="00E336AC" w:rsidRPr="00556412" w:rsidRDefault="00E336AC" w:rsidP="00556412">
            <w:pPr>
              <w:spacing w:line="240" w:lineRule="atLeast"/>
              <w:ind w:left="720"/>
              <w:jc w:val="both"/>
              <w:rPr>
                <w:rFonts w:ascii="Times New Roman" w:eastAsia="Calibri" w:hAnsi="Times New Roman" w:cs="Times New Roman"/>
                <w:sz w:val="18"/>
                <w:szCs w:val="18"/>
                <w:lang w:val="it-CH"/>
              </w:rPr>
            </w:pPr>
          </w:p>
          <w:p w14:paraId="67996D8C" w14:textId="77777777" w:rsidR="00E336AC" w:rsidRPr="00556412" w:rsidRDefault="00E336AC" w:rsidP="00556412">
            <w:pPr>
              <w:spacing w:line="240" w:lineRule="atLeast"/>
              <w:ind w:left="720"/>
              <w:jc w:val="both"/>
              <w:rPr>
                <w:rFonts w:ascii="Times New Roman" w:eastAsia="Calibri" w:hAnsi="Times New Roman" w:cs="Times New Roman"/>
                <w:sz w:val="18"/>
                <w:szCs w:val="18"/>
                <w:lang w:val="it-CH"/>
              </w:rPr>
            </w:pPr>
          </w:p>
          <w:p w14:paraId="70628973" w14:textId="77777777" w:rsidR="00E336AC" w:rsidRPr="00556412" w:rsidRDefault="00E336AC" w:rsidP="00556412">
            <w:pPr>
              <w:spacing w:line="240" w:lineRule="atLeast"/>
              <w:ind w:left="720"/>
              <w:jc w:val="both"/>
              <w:rPr>
                <w:rFonts w:ascii="Times New Roman" w:eastAsia="Calibri" w:hAnsi="Times New Roman" w:cs="Times New Roman"/>
                <w:sz w:val="18"/>
                <w:szCs w:val="18"/>
                <w:lang w:val="it-CH"/>
              </w:rPr>
            </w:pPr>
          </w:p>
          <w:p w14:paraId="2316CA17" w14:textId="77777777" w:rsidR="00E336AC" w:rsidRPr="00556412" w:rsidRDefault="00E336AC" w:rsidP="00556412">
            <w:pPr>
              <w:spacing w:line="240" w:lineRule="atLeast"/>
              <w:jc w:val="both"/>
              <w:rPr>
                <w:rFonts w:ascii="Times New Roman" w:eastAsia="Calibri" w:hAnsi="Times New Roman" w:cs="Times New Roman"/>
                <w:sz w:val="18"/>
                <w:szCs w:val="18"/>
                <w:lang w:val="it-CH"/>
              </w:rPr>
            </w:pPr>
          </w:p>
          <w:p w14:paraId="611E2320" w14:textId="06C7249F" w:rsidR="00E336AC" w:rsidRPr="00556412" w:rsidRDefault="00E336AC" w:rsidP="00556412">
            <w:pPr>
              <w:spacing w:line="240" w:lineRule="atLeast"/>
              <w:jc w:val="both"/>
              <w:rPr>
                <w:rFonts w:ascii="Times New Roman" w:eastAsia="Calibri" w:hAnsi="Times New Roman" w:cs="Times New Roman"/>
                <w:sz w:val="18"/>
                <w:szCs w:val="18"/>
                <w:lang w:val="it-CH"/>
              </w:rPr>
            </w:pPr>
          </w:p>
        </w:tc>
        <w:tc>
          <w:tcPr>
            <w:tcW w:w="976" w:type="dxa"/>
          </w:tcPr>
          <w:p w14:paraId="5C366860" w14:textId="4E197F88" w:rsidR="003C045B" w:rsidRPr="00556412" w:rsidRDefault="00EC4617" w:rsidP="00556412">
            <w:pPr>
              <w:spacing w:line="240" w:lineRule="atLeast"/>
              <w:jc w:val="center"/>
              <w:rPr>
                <w:rFonts w:ascii="Times New Roman" w:eastAsia="Calibri" w:hAnsi="Times New Roman" w:cs="Times New Roman"/>
                <w:sz w:val="18"/>
                <w:szCs w:val="18"/>
                <w:lang w:val="en-US"/>
              </w:rPr>
            </w:pPr>
            <w:r w:rsidRPr="00556412">
              <w:rPr>
                <w:rFonts w:ascii="Times New Roman" w:eastAsia="Calibri" w:hAnsi="Times New Roman" w:cs="Times New Roman"/>
                <w:sz w:val="18"/>
                <w:szCs w:val="18"/>
                <w:lang w:val="en-US"/>
              </w:rPr>
              <w:lastRenderedPageBreak/>
              <w:t>F</w:t>
            </w:r>
          </w:p>
        </w:tc>
        <w:tc>
          <w:tcPr>
            <w:tcW w:w="3150" w:type="dxa"/>
          </w:tcPr>
          <w:p w14:paraId="735C3D58" w14:textId="77777777" w:rsidR="00B167C6" w:rsidRPr="00556412" w:rsidRDefault="00B167C6" w:rsidP="00556412">
            <w:pPr>
              <w:spacing w:line="240" w:lineRule="atLeast"/>
              <w:rPr>
                <w:rFonts w:ascii="Times New Roman" w:eastAsia="Calibri" w:hAnsi="Times New Roman" w:cs="Times New Roman"/>
                <w:sz w:val="18"/>
                <w:szCs w:val="18"/>
                <w:lang w:val="en-US"/>
              </w:rPr>
            </w:pPr>
          </w:p>
          <w:p w14:paraId="2C4BC5ED" w14:textId="2CF84113" w:rsidR="003C045B" w:rsidRPr="00556412" w:rsidRDefault="003C045B" w:rsidP="00556412">
            <w:pPr>
              <w:spacing w:line="240" w:lineRule="atLeast"/>
              <w:rPr>
                <w:rFonts w:ascii="Times New Roman" w:eastAsia="Calibri" w:hAnsi="Times New Roman" w:cs="Times New Roman"/>
                <w:sz w:val="18"/>
                <w:szCs w:val="18"/>
                <w:lang w:val="en-US"/>
              </w:rPr>
            </w:pPr>
          </w:p>
        </w:tc>
      </w:tr>
      <w:tr w:rsidR="002511E0" w:rsidRPr="001566F3" w14:paraId="4AFFC5F4" w14:textId="77777777" w:rsidTr="003C3604">
        <w:tc>
          <w:tcPr>
            <w:tcW w:w="540" w:type="dxa"/>
          </w:tcPr>
          <w:p w14:paraId="7986B8CE" w14:textId="77777777" w:rsidR="002511E0" w:rsidRPr="00556412" w:rsidRDefault="002511E0" w:rsidP="00556412">
            <w:pPr>
              <w:spacing w:line="240" w:lineRule="atLeast"/>
              <w:jc w:val="both"/>
              <w:rPr>
                <w:rFonts w:ascii="Times New Roman" w:eastAsia="Calibri" w:hAnsi="Times New Roman" w:cs="Times New Roman"/>
                <w:sz w:val="18"/>
                <w:szCs w:val="18"/>
              </w:rPr>
            </w:pPr>
          </w:p>
        </w:tc>
        <w:tc>
          <w:tcPr>
            <w:tcW w:w="5400" w:type="dxa"/>
          </w:tcPr>
          <w:p w14:paraId="06B27084" w14:textId="77777777" w:rsidR="00875997" w:rsidRPr="00556412" w:rsidRDefault="002511E0" w:rsidP="00556412">
            <w:pPr>
              <w:spacing w:line="240" w:lineRule="atLeast"/>
              <w:jc w:val="both"/>
              <w:rPr>
                <w:rFonts w:ascii="Times New Roman" w:eastAsia="Times New Roman" w:hAnsi="Times New Roman" w:cs="Times New Roman"/>
                <w:sz w:val="18"/>
                <w:szCs w:val="18"/>
              </w:rPr>
            </w:pPr>
            <w:r w:rsidRPr="00556412">
              <w:rPr>
                <w:rStyle w:val="legamendingtext"/>
                <w:rFonts w:ascii="Times New Roman" w:hAnsi="Times New Roman" w:cs="Times New Roman"/>
                <w:color w:val="000000"/>
                <w:sz w:val="18"/>
                <w:szCs w:val="18"/>
              </w:rPr>
              <w:t xml:space="preserve">7.   </w:t>
            </w:r>
            <w:r w:rsidR="00875997" w:rsidRPr="00556412">
              <w:rPr>
                <w:rFonts w:ascii="Times New Roman" w:eastAsia="Times New Roman" w:hAnsi="Times New Roman" w:cs="Times New Roman"/>
                <w:sz w:val="18"/>
                <w:szCs w:val="18"/>
              </w:rPr>
              <w:t>Për të lehtësuar shkëmbimin e informacionit të përmendur në paragrafin 6 të këtij neni, Komisioni miraton rregullimet praktike të nevojshme për zbatimin e këtij neni, duke përfshirë masat për standardizimin e komunikimit të informacionit të përcaktuar në paragrafin 6 të këtij neni, si pjesë e procedurës për krijimin e formularit standard të parashikuar në nenin 20(5).</w:t>
            </w:r>
          </w:p>
          <w:p w14:paraId="406CB47E" w14:textId="50441054" w:rsidR="002511E0" w:rsidRPr="00556412" w:rsidRDefault="002511E0" w:rsidP="00556412">
            <w:pPr>
              <w:pStyle w:val="Heading2"/>
              <w:spacing w:after="120" w:line="240" w:lineRule="atLeast"/>
              <w:rPr>
                <w:rStyle w:val="legamendingtext"/>
                <w:rFonts w:ascii="Times New Roman" w:hAnsi="Times New Roman" w:cs="Times New Roman"/>
                <w:color w:val="000000"/>
                <w:sz w:val="18"/>
                <w:szCs w:val="18"/>
              </w:rPr>
            </w:pPr>
          </w:p>
        </w:tc>
        <w:tc>
          <w:tcPr>
            <w:tcW w:w="540" w:type="dxa"/>
          </w:tcPr>
          <w:p w14:paraId="255510C7" w14:textId="77777777" w:rsidR="002511E0" w:rsidRPr="00556412" w:rsidRDefault="002511E0" w:rsidP="00556412">
            <w:pPr>
              <w:spacing w:line="240" w:lineRule="atLeast"/>
              <w:jc w:val="center"/>
              <w:rPr>
                <w:rFonts w:ascii="Times New Roman" w:eastAsia="Calibri" w:hAnsi="Times New Roman" w:cs="Times New Roman"/>
                <w:sz w:val="18"/>
                <w:szCs w:val="18"/>
              </w:rPr>
            </w:pPr>
          </w:p>
        </w:tc>
        <w:tc>
          <w:tcPr>
            <w:tcW w:w="630" w:type="dxa"/>
          </w:tcPr>
          <w:p w14:paraId="4B717550" w14:textId="29BC9C55" w:rsidR="002511E0" w:rsidRPr="00556412" w:rsidRDefault="00C917BB" w:rsidP="00556412">
            <w:pPr>
              <w:spacing w:line="240" w:lineRule="atLeast"/>
              <w:jc w:val="center"/>
              <w:rPr>
                <w:rFonts w:ascii="Times New Roman" w:eastAsia="Calibri" w:hAnsi="Times New Roman" w:cs="Times New Roman"/>
                <w:sz w:val="18"/>
                <w:szCs w:val="18"/>
              </w:rPr>
            </w:pPr>
            <w:r w:rsidRPr="00556412">
              <w:rPr>
                <w:rFonts w:ascii="Times New Roman" w:eastAsia="Calibri" w:hAnsi="Times New Roman" w:cs="Times New Roman"/>
                <w:sz w:val="18"/>
                <w:szCs w:val="18"/>
              </w:rPr>
              <w:t>N/A</w:t>
            </w:r>
          </w:p>
        </w:tc>
        <w:tc>
          <w:tcPr>
            <w:tcW w:w="4964" w:type="dxa"/>
          </w:tcPr>
          <w:p w14:paraId="5AAE61CA" w14:textId="2E10C36D" w:rsidR="002511E0" w:rsidRPr="00556412" w:rsidRDefault="00C917BB" w:rsidP="00556412">
            <w:pPr>
              <w:spacing w:before="120" w:line="240" w:lineRule="atLeast"/>
              <w:jc w:val="center"/>
              <w:rPr>
                <w:rFonts w:ascii="Times New Roman" w:eastAsia="Times New Roman" w:hAnsi="Times New Roman" w:cs="Times New Roman"/>
                <w:sz w:val="18"/>
                <w:szCs w:val="18"/>
                <w:lang w:val="sq-AL" w:eastAsia="sq-AL"/>
              </w:rPr>
            </w:pPr>
            <w:r w:rsidRPr="00556412">
              <w:rPr>
                <w:rFonts w:ascii="Times New Roman" w:eastAsia="Times New Roman" w:hAnsi="Times New Roman" w:cs="Times New Roman"/>
                <w:sz w:val="18"/>
                <w:szCs w:val="18"/>
                <w:lang w:val="sq-AL" w:eastAsia="sq-AL"/>
              </w:rPr>
              <w:t>N/A</w:t>
            </w:r>
          </w:p>
        </w:tc>
        <w:tc>
          <w:tcPr>
            <w:tcW w:w="976" w:type="dxa"/>
          </w:tcPr>
          <w:p w14:paraId="6EEA7984" w14:textId="258F99F4" w:rsidR="002511E0" w:rsidRPr="00556412" w:rsidRDefault="00C917BB" w:rsidP="00556412">
            <w:pPr>
              <w:spacing w:line="240" w:lineRule="atLeast"/>
              <w:jc w:val="center"/>
              <w:rPr>
                <w:rFonts w:ascii="Times New Roman" w:eastAsia="Calibri" w:hAnsi="Times New Roman" w:cs="Times New Roman"/>
                <w:sz w:val="18"/>
                <w:szCs w:val="18"/>
              </w:rPr>
            </w:pPr>
            <w:r w:rsidRPr="00556412">
              <w:rPr>
                <w:rFonts w:ascii="Times New Roman" w:eastAsia="Calibri" w:hAnsi="Times New Roman" w:cs="Times New Roman"/>
                <w:sz w:val="18"/>
                <w:szCs w:val="18"/>
              </w:rPr>
              <w:t>N/A</w:t>
            </w:r>
          </w:p>
        </w:tc>
        <w:tc>
          <w:tcPr>
            <w:tcW w:w="3150" w:type="dxa"/>
          </w:tcPr>
          <w:p w14:paraId="3444B5D0" w14:textId="0F7DC773" w:rsidR="002511E0" w:rsidRPr="00556412" w:rsidRDefault="00C917BB" w:rsidP="00556412">
            <w:pPr>
              <w:spacing w:line="240" w:lineRule="atLeast"/>
              <w:jc w:val="both"/>
              <w:rPr>
                <w:rFonts w:ascii="Times New Roman" w:eastAsia="Calibri" w:hAnsi="Times New Roman" w:cs="Times New Roman"/>
                <w:sz w:val="18"/>
                <w:szCs w:val="18"/>
              </w:rPr>
            </w:pPr>
            <w:r w:rsidRPr="00556412">
              <w:rPr>
                <w:rFonts w:ascii="Times New Roman" w:eastAsia="Calibri" w:hAnsi="Times New Roman" w:cs="Times New Roman"/>
                <w:sz w:val="18"/>
                <w:szCs w:val="18"/>
              </w:rPr>
              <w:t>Kjo dispozitë nuk kërkon transpozim të drejtpërdrejtë, pasi lidhet me miratimin e masave zbatuese nga Komisioni Evropian.</w:t>
            </w:r>
          </w:p>
        </w:tc>
      </w:tr>
      <w:tr w:rsidR="003C045B" w:rsidRPr="00556412" w14:paraId="12DBA1A2" w14:textId="77777777" w:rsidTr="003C3604">
        <w:tc>
          <w:tcPr>
            <w:tcW w:w="540" w:type="dxa"/>
          </w:tcPr>
          <w:p w14:paraId="369979A3" w14:textId="79F430B9" w:rsidR="003C045B" w:rsidRPr="00556412" w:rsidRDefault="003C045B" w:rsidP="00556412">
            <w:pPr>
              <w:spacing w:line="240" w:lineRule="atLeast"/>
              <w:jc w:val="both"/>
              <w:rPr>
                <w:rFonts w:ascii="Times New Roman" w:eastAsia="Calibri" w:hAnsi="Times New Roman" w:cs="Times New Roman"/>
                <w:sz w:val="18"/>
                <w:szCs w:val="18"/>
              </w:rPr>
            </w:pPr>
          </w:p>
        </w:tc>
        <w:tc>
          <w:tcPr>
            <w:tcW w:w="5400" w:type="dxa"/>
          </w:tcPr>
          <w:p w14:paraId="25EF31E3" w14:textId="77777777" w:rsidR="00875997" w:rsidRPr="00556412" w:rsidRDefault="00F82F30" w:rsidP="00556412">
            <w:pPr>
              <w:spacing w:line="240" w:lineRule="atLeast"/>
              <w:jc w:val="both"/>
              <w:rPr>
                <w:rFonts w:ascii="Times New Roman" w:eastAsia="Times New Roman" w:hAnsi="Times New Roman" w:cs="Times New Roman"/>
                <w:sz w:val="18"/>
                <w:szCs w:val="18"/>
              </w:rPr>
            </w:pPr>
            <w:r w:rsidRPr="00556412">
              <w:rPr>
                <w:rFonts w:ascii="Times New Roman" w:eastAsia="Calibri" w:hAnsi="Times New Roman" w:cs="Times New Roman"/>
                <w:iCs/>
                <w:sz w:val="18"/>
                <w:szCs w:val="18"/>
              </w:rPr>
              <w:t xml:space="preserve">8.  </w:t>
            </w:r>
            <w:r w:rsidR="00875997" w:rsidRPr="00556412">
              <w:rPr>
                <w:rFonts w:ascii="Times New Roman" w:eastAsia="Times New Roman" w:hAnsi="Times New Roman" w:cs="Times New Roman"/>
                <w:sz w:val="18"/>
                <w:szCs w:val="18"/>
              </w:rPr>
              <w:t>Informacioni, siç përcaktohet në shkronjat (a), (b), (h) dhe (k) të paragrafit 6 të këtij neni, nuk duhet të komunikohet Komisionit Evropian.</w:t>
            </w:r>
          </w:p>
          <w:p w14:paraId="38DC41C0" w14:textId="102B0E06" w:rsidR="003C045B" w:rsidRPr="00556412" w:rsidRDefault="003C045B" w:rsidP="00556412">
            <w:pPr>
              <w:spacing w:line="240" w:lineRule="atLeast"/>
              <w:jc w:val="both"/>
              <w:rPr>
                <w:rFonts w:ascii="Times New Roman" w:eastAsia="Calibri" w:hAnsi="Times New Roman" w:cs="Times New Roman"/>
                <w:iCs/>
                <w:sz w:val="18"/>
                <w:szCs w:val="18"/>
              </w:rPr>
            </w:pPr>
          </w:p>
        </w:tc>
        <w:tc>
          <w:tcPr>
            <w:tcW w:w="540" w:type="dxa"/>
          </w:tcPr>
          <w:p w14:paraId="565A294E" w14:textId="77777777" w:rsidR="003C045B" w:rsidRPr="00556412" w:rsidRDefault="003C045B" w:rsidP="00556412">
            <w:pPr>
              <w:spacing w:line="240" w:lineRule="atLeast"/>
              <w:jc w:val="center"/>
              <w:rPr>
                <w:rFonts w:ascii="Times New Roman" w:eastAsia="Calibri" w:hAnsi="Times New Roman" w:cs="Times New Roman"/>
                <w:sz w:val="18"/>
                <w:szCs w:val="18"/>
              </w:rPr>
            </w:pPr>
          </w:p>
        </w:tc>
        <w:tc>
          <w:tcPr>
            <w:tcW w:w="630" w:type="dxa"/>
          </w:tcPr>
          <w:p w14:paraId="646F798E" w14:textId="36DC2598" w:rsidR="003C045B" w:rsidRPr="00556412" w:rsidRDefault="00875997" w:rsidP="00556412">
            <w:pPr>
              <w:spacing w:line="240" w:lineRule="atLeast"/>
              <w:jc w:val="center"/>
              <w:rPr>
                <w:rFonts w:ascii="Times New Roman" w:eastAsia="Calibri" w:hAnsi="Times New Roman" w:cs="Times New Roman"/>
                <w:sz w:val="18"/>
                <w:szCs w:val="18"/>
                <w:lang w:val="en-US"/>
              </w:rPr>
            </w:pPr>
            <w:r w:rsidRPr="00556412">
              <w:rPr>
                <w:rFonts w:ascii="Times New Roman" w:eastAsia="Calibri" w:hAnsi="Times New Roman" w:cs="Times New Roman"/>
                <w:sz w:val="18"/>
                <w:szCs w:val="18"/>
                <w:lang w:val="en-US"/>
              </w:rPr>
              <w:t>Neni</w:t>
            </w:r>
            <w:r w:rsidR="00C917BB" w:rsidRPr="00556412">
              <w:rPr>
                <w:rFonts w:ascii="Times New Roman" w:eastAsia="Calibri" w:hAnsi="Times New Roman" w:cs="Times New Roman"/>
                <w:sz w:val="18"/>
                <w:szCs w:val="18"/>
                <w:lang w:val="en-US"/>
              </w:rPr>
              <w:t xml:space="preserve"> 7</w:t>
            </w:r>
          </w:p>
        </w:tc>
        <w:tc>
          <w:tcPr>
            <w:tcW w:w="4964" w:type="dxa"/>
          </w:tcPr>
          <w:p w14:paraId="5737E3CB" w14:textId="77777777" w:rsidR="004226BF" w:rsidRPr="00556412" w:rsidRDefault="00905100" w:rsidP="00556412">
            <w:pPr>
              <w:spacing w:before="100" w:beforeAutospacing="1" w:after="100" w:afterAutospacing="1" w:line="240" w:lineRule="atLeast"/>
              <w:jc w:val="center"/>
              <w:rPr>
                <w:rFonts w:ascii="Times New Roman" w:eastAsia="Calibri" w:hAnsi="Times New Roman" w:cs="Times New Roman"/>
                <w:b/>
                <w:sz w:val="18"/>
                <w:szCs w:val="18"/>
                <w:lang w:val="it-CH"/>
              </w:rPr>
            </w:pPr>
            <w:r w:rsidRPr="00556412">
              <w:rPr>
                <w:rFonts w:ascii="Times New Roman" w:eastAsia="Calibri" w:hAnsi="Times New Roman" w:cs="Times New Roman"/>
                <w:b/>
                <w:sz w:val="18"/>
                <w:szCs w:val="18"/>
                <w:lang w:val="it-CH"/>
              </w:rPr>
              <w:t>Neni 7</w:t>
            </w:r>
          </w:p>
          <w:p w14:paraId="175C3255" w14:textId="7D7A4862" w:rsidR="00905100" w:rsidRPr="00556412" w:rsidRDefault="00905100" w:rsidP="00556412">
            <w:pPr>
              <w:spacing w:before="100" w:beforeAutospacing="1" w:after="100" w:afterAutospacing="1" w:line="240" w:lineRule="atLeast"/>
              <w:jc w:val="center"/>
              <w:rPr>
                <w:rFonts w:ascii="Times New Roman" w:eastAsia="Calibri" w:hAnsi="Times New Roman" w:cs="Times New Roman"/>
                <w:b/>
                <w:sz w:val="18"/>
                <w:szCs w:val="18"/>
                <w:lang w:val="it-CH"/>
              </w:rPr>
            </w:pPr>
            <w:r w:rsidRPr="00556412">
              <w:rPr>
                <w:rFonts w:ascii="Times New Roman" w:eastAsia="Calibri" w:hAnsi="Times New Roman" w:cs="Times New Roman"/>
                <w:b/>
                <w:sz w:val="18"/>
                <w:szCs w:val="18"/>
                <w:lang w:val="it-CH"/>
              </w:rPr>
              <w:t>Përmbajtja e informacionit që do të shkëmbehet</w:t>
            </w:r>
          </w:p>
          <w:p w14:paraId="7DADCA8E" w14:textId="55F8DEAD" w:rsidR="00FE6EDB" w:rsidRPr="00556412" w:rsidRDefault="007A3586" w:rsidP="00556412">
            <w:pPr>
              <w:spacing w:before="100" w:beforeAutospacing="1" w:after="100" w:afterAutospacing="1" w:line="240" w:lineRule="atLeast"/>
              <w:jc w:val="both"/>
              <w:rPr>
                <w:rFonts w:ascii="Times New Roman" w:eastAsia="Calibri" w:hAnsi="Times New Roman" w:cs="Times New Roman"/>
                <w:sz w:val="18"/>
                <w:szCs w:val="18"/>
                <w:lang w:val="it-CH"/>
              </w:rPr>
            </w:pPr>
            <w:r w:rsidRPr="00556412">
              <w:rPr>
                <w:rFonts w:ascii="Times New Roman" w:eastAsia="Calibri" w:hAnsi="Times New Roman" w:cs="Times New Roman"/>
                <w:sz w:val="18"/>
                <w:szCs w:val="18"/>
                <w:lang w:val="it-CH"/>
              </w:rPr>
              <w:t>3</w:t>
            </w:r>
            <w:r w:rsidR="00905100" w:rsidRPr="00556412">
              <w:rPr>
                <w:rFonts w:ascii="Times New Roman" w:eastAsia="Calibri" w:hAnsi="Times New Roman" w:cs="Times New Roman"/>
                <w:sz w:val="18"/>
                <w:szCs w:val="18"/>
                <w:lang w:val="it-CH"/>
              </w:rPr>
              <w:t xml:space="preserve">.Informacioni siç përcaktohet në </w:t>
            </w:r>
            <w:r w:rsidR="005B0824" w:rsidRPr="00556412">
              <w:rPr>
                <w:rFonts w:ascii="Times New Roman" w:eastAsia="Calibri" w:hAnsi="Times New Roman" w:cs="Times New Roman"/>
                <w:sz w:val="18"/>
                <w:szCs w:val="18"/>
                <w:lang w:val="it-CH"/>
              </w:rPr>
              <w:t>shkronja</w:t>
            </w:r>
            <w:r w:rsidR="00905100" w:rsidRPr="00556412">
              <w:rPr>
                <w:rFonts w:ascii="Times New Roman" w:eastAsia="Calibri" w:hAnsi="Times New Roman" w:cs="Times New Roman"/>
                <w:sz w:val="18"/>
                <w:szCs w:val="18"/>
                <w:lang w:val="it-CH"/>
              </w:rPr>
              <w:t xml:space="preserve">t (a), (b), (h) dhe (k) të </w:t>
            </w:r>
            <w:r w:rsidR="005B0824" w:rsidRPr="00556412">
              <w:rPr>
                <w:rFonts w:ascii="Times New Roman" w:eastAsia="Calibri" w:hAnsi="Times New Roman" w:cs="Times New Roman"/>
                <w:sz w:val="18"/>
                <w:szCs w:val="18"/>
                <w:lang w:val="it-CH"/>
              </w:rPr>
              <w:t>pik</w:t>
            </w:r>
            <w:r w:rsidR="00CD309C">
              <w:rPr>
                <w:rFonts w:ascii="Times New Roman" w:eastAsia="Calibri" w:hAnsi="Times New Roman" w:cs="Times New Roman"/>
                <w:sz w:val="18"/>
                <w:szCs w:val="18"/>
                <w:lang w:val="it-CH"/>
              </w:rPr>
              <w:t>ë</w:t>
            </w:r>
            <w:r w:rsidR="005B0824" w:rsidRPr="00556412">
              <w:rPr>
                <w:rFonts w:ascii="Times New Roman" w:eastAsia="Calibri" w:hAnsi="Times New Roman" w:cs="Times New Roman"/>
                <w:sz w:val="18"/>
                <w:szCs w:val="18"/>
                <w:lang w:val="it-CH"/>
              </w:rPr>
              <w:t>s 1 t</w:t>
            </w:r>
            <w:r w:rsidR="00CD309C">
              <w:rPr>
                <w:rFonts w:ascii="Times New Roman" w:eastAsia="Calibri" w:hAnsi="Times New Roman" w:cs="Times New Roman"/>
                <w:sz w:val="18"/>
                <w:szCs w:val="18"/>
                <w:lang w:val="it-CH"/>
              </w:rPr>
              <w:t>ë</w:t>
            </w:r>
            <w:r w:rsidR="005B0824" w:rsidRPr="00556412">
              <w:rPr>
                <w:rFonts w:ascii="Times New Roman" w:eastAsia="Calibri" w:hAnsi="Times New Roman" w:cs="Times New Roman"/>
                <w:sz w:val="18"/>
                <w:szCs w:val="18"/>
                <w:lang w:val="it-CH"/>
              </w:rPr>
              <w:t xml:space="preserve"> </w:t>
            </w:r>
            <w:r w:rsidR="00905100" w:rsidRPr="00556412">
              <w:rPr>
                <w:rFonts w:ascii="Times New Roman" w:eastAsia="Calibri" w:hAnsi="Times New Roman" w:cs="Times New Roman"/>
                <w:sz w:val="18"/>
                <w:szCs w:val="18"/>
                <w:lang w:val="it-CH"/>
              </w:rPr>
              <w:t xml:space="preserve">këtij neni nuk do t'i komunikohet Komisionit Evropian. </w:t>
            </w:r>
            <w:r w:rsidRPr="00556412">
              <w:rPr>
                <w:rFonts w:ascii="Times New Roman" w:eastAsia="Calibri" w:hAnsi="Times New Roman" w:cs="Times New Roman"/>
                <w:sz w:val="18"/>
                <w:szCs w:val="18"/>
                <w:lang w:val="it-CH"/>
              </w:rPr>
              <w:t>4.</w:t>
            </w:r>
            <w:r w:rsidR="00905100" w:rsidRPr="00556412">
              <w:rPr>
                <w:rFonts w:ascii="Times New Roman" w:eastAsia="Calibri" w:hAnsi="Times New Roman" w:cs="Times New Roman"/>
                <w:sz w:val="18"/>
                <w:szCs w:val="18"/>
                <w:lang w:val="it-CH"/>
              </w:rPr>
              <w:t xml:space="preserve">Autoriteti kompetent i shteteve anëtare, i identifikuar në  </w:t>
            </w:r>
            <w:r w:rsidR="005B0824" w:rsidRPr="00556412">
              <w:rPr>
                <w:rFonts w:ascii="Times New Roman" w:eastAsia="Calibri" w:hAnsi="Times New Roman" w:cs="Times New Roman"/>
                <w:sz w:val="18"/>
                <w:szCs w:val="18"/>
                <w:lang w:val="it-CH"/>
              </w:rPr>
              <w:lastRenderedPageBreak/>
              <w:t>shkronj</w:t>
            </w:r>
            <w:r w:rsidR="00CD309C">
              <w:rPr>
                <w:rFonts w:ascii="Times New Roman" w:eastAsia="Calibri" w:hAnsi="Times New Roman" w:cs="Times New Roman"/>
                <w:sz w:val="18"/>
                <w:szCs w:val="18"/>
                <w:lang w:val="it-CH"/>
              </w:rPr>
              <w:t>ë</w:t>
            </w:r>
            <w:r w:rsidR="005B0824" w:rsidRPr="00556412">
              <w:rPr>
                <w:rFonts w:ascii="Times New Roman" w:eastAsia="Calibri" w:hAnsi="Times New Roman" w:cs="Times New Roman"/>
                <w:sz w:val="18"/>
                <w:szCs w:val="18"/>
                <w:lang w:val="it-CH"/>
              </w:rPr>
              <w:t xml:space="preserve">n </w:t>
            </w:r>
            <w:r w:rsidR="00905100" w:rsidRPr="00556412">
              <w:rPr>
                <w:rFonts w:ascii="Times New Roman" w:eastAsia="Calibri" w:hAnsi="Times New Roman" w:cs="Times New Roman"/>
                <w:sz w:val="18"/>
                <w:szCs w:val="18"/>
                <w:lang w:val="it-CH"/>
              </w:rPr>
              <w:t>j)</w:t>
            </w:r>
            <w:r w:rsidR="005B0824" w:rsidRPr="00556412">
              <w:rPr>
                <w:rFonts w:ascii="Times New Roman" w:eastAsia="Calibri" w:hAnsi="Times New Roman" w:cs="Times New Roman"/>
                <w:sz w:val="18"/>
                <w:szCs w:val="18"/>
                <w:lang w:val="it-CH"/>
              </w:rPr>
              <w:t xml:space="preserve"> t</w:t>
            </w:r>
            <w:r w:rsidR="00CD309C">
              <w:rPr>
                <w:rFonts w:ascii="Times New Roman" w:eastAsia="Calibri" w:hAnsi="Times New Roman" w:cs="Times New Roman"/>
                <w:sz w:val="18"/>
                <w:szCs w:val="18"/>
                <w:lang w:val="it-CH"/>
              </w:rPr>
              <w:t>ë</w:t>
            </w:r>
            <w:r w:rsidR="005B0824" w:rsidRPr="00556412">
              <w:rPr>
                <w:rFonts w:ascii="Times New Roman" w:eastAsia="Calibri" w:hAnsi="Times New Roman" w:cs="Times New Roman"/>
                <w:sz w:val="18"/>
                <w:szCs w:val="18"/>
                <w:lang w:val="it-CH"/>
              </w:rPr>
              <w:t xml:space="preserve"> pik</w:t>
            </w:r>
            <w:r w:rsidR="00CD309C">
              <w:rPr>
                <w:rFonts w:ascii="Times New Roman" w:eastAsia="Calibri" w:hAnsi="Times New Roman" w:cs="Times New Roman"/>
                <w:sz w:val="18"/>
                <w:szCs w:val="18"/>
                <w:lang w:val="it-CH"/>
              </w:rPr>
              <w:t>ë</w:t>
            </w:r>
            <w:r w:rsidR="005B0824" w:rsidRPr="00556412">
              <w:rPr>
                <w:rFonts w:ascii="Times New Roman" w:eastAsia="Calibri" w:hAnsi="Times New Roman" w:cs="Times New Roman"/>
                <w:sz w:val="18"/>
                <w:szCs w:val="18"/>
                <w:lang w:val="it-CH"/>
              </w:rPr>
              <w:t>s 1 t</w:t>
            </w:r>
            <w:r w:rsidR="00CD309C">
              <w:rPr>
                <w:rFonts w:ascii="Times New Roman" w:eastAsia="Calibri" w:hAnsi="Times New Roman" w:cs="Times New Roman"/>
                <w:sz w:val="18"/>
                <w:szCs w:val="18"/>
                <w:lang w:val="it-CH"/>
              </w:rPr>
              <w:t>ë</w:t>
            </w:r>
            <w:r w:rsidR="005B0824" w:rsidRPr="00556412">
              <w:rPr>
                <w:rFonts w:ascii="Times New Roman" w:eastAsia="Calibri" w:hAnsi="Times New Roman" w:cs="Times New Roman"/>
                <w:sz w:val="18"/>
                <w:szCs w:val="18"/>
                <w:lang w:val="it-CH"/>
              </w:rPr>
              <w:t xml:space="preserve"> k</w:t>
            </w:r>
            <w:r w:rsidR="00CD309C">
              <w:rPr>
                <w:rFonts w:ascii="Times New Roman" w:eastAsia="Calibri" w:hAnsi="Times New Roman" w:cs="Times New Roman"/>
                <w:sz w:val="18"/>
                <w:szCs w:val="18"/>
                <w:lang w:val="it-CH"/>
              </w:rPr>
              <w:t>ë</w:t>
            </w:r>
            <w:r w:rsidR="005B0824" w:rsidRPr="00556412">
              <w:rPr>
                <w:rFonts w:ascii="Times New Roman" w:eastAsia="Calibri" w:hAnsi="Times New Roman" w:cs="Times New Roman"/>
                <w:sz w:val="18"/>
                <w:szCs w:val="18"/>
                <w:lang w:val="it-CH"/>
              </w:rPr>
              <w:t>tij neni</w:t>
            </w:r>
            <w:r w:rsidR="00905100" w:rsidRPr="00556412">
              <w:rPr>
                <w:rFonts w:ascii="Times New Roman" w:eastAsia="Calibri" w:hAnsi="Times New Roman" w:cs="Times New Roman"/>
                <w:sz w:val="18"/>
                <w:szCs w:val="18"/>
                <w:lang w:val="it-CH"/>
              </w:rPr>
              <w:t>, do të konfirmojë, nëse është e mundur me mjete elektronike, marrjen e informacionit tek autoriteti kompetent që ka dhënë informacionin pa vonesë dhe në çdo rast jo më vonë se shtatë ditë pune. Kjo masë do të zbatohet derisa drejtoria qendrore të bëhet funksionale.</w:t>
            </w:r>
          </w:p>
          <w:p w14:paraId="2397275C" w14:textId="4CC92BE9" w:rsidR="003C045B" w:rsidRPr="00556412" w:rsidRDefault="003C045B" w:rsidP="00556412">
            <w:pPr>
              <w:spacing w:before="100" w:beforeAutospacing="1" w:after="100" w:afterAutospacing="1" w:line="240" w:lineRule="atLeast"/>
              <w:jc w:val="center"/>
              <w:rPr>
                <w:rFonts w:ascii="Times New Roman" w:eastAsia="Calibri" w:hAnsi="Times New Roman" w:cs="Times New Roman"/>
                <w:sz w:val="18"/>
                <w:szCs w:val="18"/>
                <w:lang w:val="it-CH"/>
              </w:rPr>
            </w:pPr>
          </w:p>
        </w:tc>
        <w:tc>
          <w:tcPr>
            <w:tcW w:w="976" w:type="dxa"/>
          </w:tcPr>
          <w:p w14:paraId="78CDC80A" w14:textId="1111FF7C" w:rsidR="003C045B" w:rsidRPr="00556412" w:rsidRDefault="00C917BB" w:rsidP="00556412">
            <w:pPr>
              <w:spacing w:line="240" w:lineRule="atLeast"/>
              <w:jc w:val="center"/>
              <w:rPr>
                <w:rFonts w:ascii="Times New Roman" w:eastAsia="Calibri" w:hAnsi="Times New Roman" w:cs="Times New Roman"/>
                <w:sz w:val="18"/>
                <w:szCs w:val="18"/>
                <w:lang w:val="en-US"/>
              </w:rPr>
            </w:pPr>
            <w:r w:rsidRPr="00556412">
              <w:rPr>
                <w:rFonts w:ascii="Times New Roman" w:eastAsia="Calibri" w:hAnsi="Times New Roman" w:cs="Times New Roman"/>
                <w:sz w:val="18"/>
                <w:szCs w:val="18"/>
                <w:lang w:val="en-US"/>
              </w:rPr>
              <w:lastRenderedPageBreak/>
              <w:t>F</w:t>
            </w:r>
          </w:p>
        </w:tc>
        <w:tc>
          <w:tcPr>
            <w:tcW w:w="3150" w:type="dxa"/>
          </w:tcPr>
          <w:p w14:paraId="5D6C08E4" w14:textId="1EEF49BB" w:rsidR="00F82F30" w:rsidRPr="00556412" w:rsidRDefault="00F82F30" w:rsidP="00556412">
            <w:pPr>
              <w:spacing w:line="240" w:lineRule="atLeast"/>
              <w:rPr>
                <w:rFonts w:ascii="Times New Roman" w:eastAsia="Calibri" w:hAnsi="Times New Roman" w:cs="Times New Roman"/>
                <w:sz w:val="18"/>
                <w:szCs w:val="18"/>
                <w:lang w:val="en-US"/>
              </w:rPr>
            </w:pPr>
          </w:p>
          <w:p w14:paraId="09801CC0" w14:textId="0C949902" w:rsidR="003C045B" w:rsidRPr="00556412" w:rsidRDefault="003C045B" w:rsidP="00556412">
            <w:pPr>
              <w:spacing w:line="240" w:lineRule="atLeast"/>
              <w:rPr>
                <w:rFonts w:ascii="Times New Roman" w:eastAsia="Calibri" w:hAnsi="Times New Roman" w:cs="Times New Roman"/>
                <w:sz w:val="18"/>
                <w:szCs w:val="18"/>
                <w:lang w:val="en-US"/>
              </w:rPr>
            </w:pPr>
          </w:p>
        </w:tc>
      </w:tr>
      <w:tr w:rsidR="003C045B" w:rsidRPr="00556412" w14:paraId="07041DF6" w14:textId="77777777" w:rsidTr="003C3604">
        <w:trPr>
          <w:trHeight w:val="2789"/>
        </w:trPr>
        <w:tc>
          <w:tcPr>
            <w:tcW w:w="540" w:type="dxa"/>
            <w:shd w:val="clear" w:color="auto" w:fill="F2F2F2"/>
          </w:tcPr>
          <w:p w14:paraId="03401B2F" w14:textId="77777777" w:rsidR="003C045B" w:rsidRPr="00556412" w:rsidRDefault="003C045B" w:rsidP="00556412">
            <w:pPr>
              <w:spacing w:line="240" w:lineRule="atLeast"/>
              <w:jc w:val="center"/>
              <w:rPr>
                <w:rFonts w:ascii="Times New Roman" w:eastAsia="Calibri" w:hAnsi="Times New Roman" w:cs="Times New Roman"/>
                <w:i/>
                <w:sz w:val="18"/>
                <w:szCs w:val="18"/>
                <w:lang w:val="en-US"/>
              </w:rPr>
            </w:pPr>
          </w:p>
        </w:tc>
        <w:tc>
          <w:tcPr>
            <w:tcW w:w="5400" w:type="dxa"/>
            <w:shd w:val="clear" w:color="auto" w:fill="F2F2F2"/>
          </w:tcPr>
          <w:p w14:paraId="7268FE42" w14:textId="77777777" w:rsidR="00875997" w:rsidRPr="00556412" w:rsidRDefault="00875997" w:rsidP="00556412">
            <w:pPr>
              <w:spacing w:line="240" w:lineRule="atLeast"/>
              <w:jc w:val="both"/>
              <w:rPr>
                <w:rFonts w:ascii="Times New Roman" w:eastAsia="Times New Roman" w:hAnsi="Times New Roman" w:cs="Times New Roman"/>
                <w:sz w:val="18"/>
                <w:szCs w:val="18"/>
              </w:rPr>
            </w:pPr>
            <w:r w:rsidRPr="00556412">
              <w:rPr>
                <w:rFonts w:ascii="Times New Roman" w:eastAsia="Times New Roman" w:hAnsi="Times New Roman" w:cs="Times New Roman"/>
                <w:sz w:val="18"/>
                <w:szCs w:val="18"/>
              </w:rPr>
              <w:t>9. Autoriteti kompetent i shteteve anëtare të përfshira, të identifikuara sipas shkronjës (j) të paragrafit 6, konfirmon, nëse është e mundur me mjete elektronike, marrjen e informacionit tek autoriteti kompetent që e ka dhënë atë, pa vonesë dhe në çdo rast jo më vonë se shtatë ditë pune. Ky mekanizëm zbatohet deri në momentin kur drejtoria e përmendur në nenin 21(5) bëhet funksionale.</w:t>
            </w:r>
          </w:p>
          <w:p w14:paraId="4D5F8454" w14:textId="18D8ADF1" w:rsidR="003C045B" w:rsidRPr="00556412" w:rsidRDefault="003C045B" w:rsidP="00556412">
            <w:pPr>
              <w:pStyle w:val="oj-normal"/>
              <w:shd w:val="clear" w:color="auto" w:fill="FFFFFF"/>
              <w:spacing w:before="120" w:beforeAutospacing="0" w:after="0" w:afterAutospacing="0" w:line="240" w:lineRule="atLeast"/>
              <w:jc w:val="both"/>
              <w:rPr>
                <w:rFonts w:eastAsia="Calibri"/>
                <w:iCs/>
                <w:sz w:val="18"/>
                <w:szCs w:val="18"/>
              </w:rPr>
            </w:pPr>
          </w:p>
        </w:tc>
        <w:tc>
          <w:tcPr>
            <w:tcW w:w="540" w:type="dxa"/>
          </w:tcPr>
          <w:p w14:paraId="20E57A6E" w14:textId="77777777" w:rsidR="003C045B" w:rsidRPr="00556412" w:rsidRDefault="003C045B" w:rsidP="00556412">
            <w:pPr>
              <w:spacing w:line="240" w:lineRule="atLeast"/>
              <w:jc w:val="center"/>
              <w:rPr>
                <w:rFonts w:ascii="Times New Roman" w:eastAsia="Calibri" w:hAnsi="Times New Roman" w:cs="Times New Roman"/>
                <w:i/>
                <w:sz w:val="18"/>
                <w:szCs w:val="18"/>
              </w:rPr>
            </w:pPr>
          </w:p>
        </w:tc>
        <w:tc>
          <w:tcPr>
            <w:tcW w:w="630" w:type="dxa"/>
            <w:shd w:val="clear" w:color="auto" w:fill="F2F2F2"/>
          </w:tcPr>
          <w:p w14:paraId="7BD59961" w14:textId="32EFCE46" w:rsidR="003C045B" w:rsidRPr="00556412" w:rsidRDefault="00875997" w:rsidP="00556412">
            <w:pPr>
              <w:spacing w:line="240" w:lineRule="atLeast"/>
              <w:jc w:val="center"/>
              <w:rPr>
                <w:rFonts w:ascii="Times New Roman" w:eastAsia="Calibri" w:hAnsi="Times New Roman" w:cs="Times New Roman"/>
                <w:sz w:val="18"/>
                <w:szCs w:val="18"/>
                <w:lang w:val="en-US"/>
              </w:rPr>
            </w:pPr>
            <w:r w:rsidRPr="00556412">
              <w:rPr>
                <w:rFonts w:ascii="Times New Roman" w:eastAsia="Calibri" w:hAnsi="Times New Roman" w:cs="Times New Roman"/>
                <w:sz w:val="18"/>
                <w:szCs w:val="18"/>
                <w:lang w:val="en-US"/>
              </w:rPr>
              <w:t>Neni</w:t>
            </w:r>
            <w:r w:rsidR="00C917BB" w:rsidRPr="00556412">
              <w:rPr>
                <w:rFonts w:ascii="Times New Roman" w:eastAsia="Calibri" w:hAnsi="Times New Roman" w:cs="Times New Roman"/>
                <w:sz w:val="18"/>
                <w:szCs w:val="18"/>
                <w:lang w:val="en-US"/>
              </w:rPr>
              <w:t xml:space="preserve"> 7</w:t>
            </w:r>
          </w:p>
        </w:tc>
        <w:tc>
          <w:tcPr>
            <w:tcW w:w="4964" w:type="dxa"/>
            <w:shd w:val="clear" w:color="auto" w:fill="F2F2F2"/>
          </w:tcPr>
          <w:p w14:paraId="2F9FECF5" w14:textId="5F9E9FAF" w:rsidR="004226BF" w:rsidRPr="00556412" w:rsidRDefault="004226BF" w:rsidP="00556412">
            <w:pPr>
              <w:spacing w:before="100" w:beforeAutospacing="1" w:after="100" w:afterAutospacing="1" w:line="240" w:lineRule="atLeast"/>
              <w:rPr>
                <w:rFonts w:ascii="Times New Roman" w:eastAsia="Calibri" w:hAnsi="Times New Roman" w:cs="Times New Roman"/>
                <w:b/>
                <w:sz w:val="18"/>
                <w:szCs w:val="18"/>
                <w:lang w:val="it-CH"/>
              </w:rPr>
            </w:pPr>
          </w:p>
          <w:p w14:paraId="5271F0A6" w14:textId="77777777" w:rsidR="00205E01" w:rsidRPr="00556412" w:rsidRDefault="00205E01" w:rsidP="00556412">
            <w:pPr>
              <w:spacing w:before="100" w:beforeAutospacing="1" w:after="100" w:afterAutospacing="1" w:line="240" w:lineRule="atLeast"/>
              <w:jc w:val="center"/>
              <w:rPr>
                <w:rFonts w:ascii="Times New Roman" w:eastAsia="Calibri" w:hAnsi="Times New Roman" w:cs="Times New Roman"/>
                <w:b/>
                <w:sz w:val="18"/>
                <w:szCs w:val="18"/>
                <w:lang w:val="it-CH"/>
              </w:rPr>
            </w:pPr>
            <w:r w:rsidRPr="00556412">
              <w:rPr>
                <w:rFonts w:ascii="Times New Roman" w:eastAsia="Calibri" w:hAnsi="Times New Roman" w:cs="Times New Roman"/>
                <w:b/>
                <w:sz w:val="18"/>
                <w:szCs w:val="18"/>
                <w:lang w:val="it-CH"/>
              </w:rPr>
              <w:t>Neni 7</w:t>
            </w:r>
          </w:p>
          <w:p w14:paraId="31021B3B" w14:textId="4F783ABB" w:rsidR="00EB2C6A" w:rsidRPr="00556412" w:rsidRDefault="00EB2C6A" w:rsidP="00556412">
            <w:pPr>
              <w:spacing w:before="100" w:beforeAutospacing="1" w:after="100" w:afterAutospacing="1" w:line="240" w:lineRule="atLeast"/>
              <w:jc w:val="center"/>
              <w:rPr>
                <w:rFonts w:ascii="Times New Roman" w:eastAsia="Calibri" w:hAnsi="Times New Roman" w:cs="Times New Roman"/>
                <w:b/>
                <w:sz w:val="18"/>
                <w:szCs w:val="18"/>
                <w:lang w:val="it-CH"/>
              </w:rPr>
            </w:pPr>
            <w:r w:rsidRPr="00556412">
              <w:rPr>
                <w:rFonts w:ascii="Times New Roman" w:eastAsia="Calibri" w:hAnsi="Times New Roman" w:cs="Times New Roman"/>
                <w:b/>
                <w:sz w:val="18"/>
                <w:szCs w:val="18"/>
                <w:lang w:val="it-CH"/>
              </w:rPr>
              <w:t>Përmbajtja e informacionit që do të shkëmbehet</w:t>
            </w:r>
          </w:p>
          <w:p w14:paraId="638AC66C" w14:textId="77777777" w:rsidR="001566F3" w:rsidRDefault="007A3586" w:rsidP="00556412">
            <w:pPr>
              <w:spacing w:before="100" w:beforeAutospacing="1" w:after="100" w:afterAutospacing="1" w:line="240" w:lineRule="atLeast"/>
              <w:jc w:val="both"/>
              <w:rPr>
                <w:rFonts w:ascii="Times New Roman" w:eastAsia="Calibri" w:hAnsi="Times New Roman" w:cs="Times New Roman"/>
                <w:sz w:val="18"/>
                <w:szCs w:val="18"/>
                <w:lang w:val="it-CH"/>
              </w:rPr>
            </w:pPr>
            <w:r w:rsidRPr="00556412">
              <w:rPr>
                <w:rFonts w:ascii="Times New Roman" w:eastAsia="Calibri" w:hAnsi="Times New Roman" w:cs="Times New Roman"/>
                <w:sz w:val="18"/>
                <w:szCs w:val="18"/>
                <w:lang w:val="it-CH"/>
              </w:rPr>
              <w:t>3</w:t>
            </w:r>
            <w:r w:rsidR="00905100" w:rsidRPr="00556412">
              <w:rPr>
                <w:rFonts w:ascii="Times New Roman" w:eastAsia="Calibri" w:hAnsi="Times New Roman" w:cs="Times New Roman"/>
                <w:sz w:val="18"/>
                <w:szCs w:val="18"/>
                <w:lang w:val="it-CH"/>
              </w:rPr>
              <w:t xml:space="preserve">.Informacioni siç përcaktohet në </w:t>
            </w:r>
            <w:r w:rsidR="005B0824" w:rsidRPr="00556412">
              <w:rPr>
                <w:rFonts w:ascii="Times New Roman" w:eastAsia="Calibri" w:hAnsi="Times New Roman" w:cs="Times New Roman"/>
                <w:sz w:val="18"/>
                <w:szCs w:val="18"/>
                <w:lang w:val="it-CH"/>
              </w:rPr>
              <w:t>shkornjat</w:t>
            </w:r>
            <w:r w:rsidR="00905100" w:rsidRPr="00556412">
              <w:rPr>
                <w:rFonts w:ascii="Times New Roman" w:eastAsia="Calibri" w:hAnsi="Times New Roman" w:cs="Times New Roman"/>
                <w:sz w:val="18"/>
                <w:szCs w:val="18"/>
                <w:lang w:val="it-CH"/>
              </w:rPr>
              <w:t xml:space="preserve"> (a), (b), (h) dhe (k) të </w:t>
            </w:r>
            <w:r w:rsidR="005B0824" w:rsidRPr="00556412">
              <w:rPr>
                <w:rFonts w:ascii="Times New Roman" w:eastAsia="Calibri" w:hAnsi="Times New Roman" w:cs="Times New Roman"/>
                <w:sz w:val="18"/>
                <w:szCs w:val="18"/>
                <w:lang w:val="it-CH"/>
              </w:rPr>
              <w:t>pik</w:t>
            </w:r>
            <w:r w:rsidR="00CD309C">
              <w:rPr>
                <w:rFonts w:ascii="Times New Roman" w:eastAsia="Calibri" w:hAnsi="Times New Roman" w:cs="Times New Roman"/>
                <w:sz w:val="18"/>
                <w:szCs w:val="18"/>
                <w:lang w:val="it-CH"/>
              </w:rPr>
              <w:t>ë</w:t>
            </w:r>
            <w:r w:rsidR="005B0824" w:rsidRPr="00556412">
              <w:rPr>
                <w:rFonts w:ascii="Times New Roman" w:eastAsia="Calibri" w:hAnsi="Times New Roman" w:cs="Times New Roman"/>
                <w:sz w:val="18"/>
                <w:szCs w:val="18"/>
                <w:lang w:val="it-CH"/>
              </w:rPr>
              <w:t>s  t</w:t>
            </w:r>
            <w:r w:rsidR="00CD309C">
              <w:rPr>
                <w:rFonts w:ascii="Times New Roman" w:eastAsia="Calibri" w:hAnsi="Times New Roman" w:cs="Times New Roman"/>
                <w:sz w:val="18"/>
                <w:szCs w:val="18"/>
                <w:lang w:val="it-CH"/>
              </w:rPr>
              <w:t>ë</w:t>
            </w:r>
            <w:r w:rsidR="005B0824" w:rsidRPr="00556412">
              <w:rPr>
                <w:rFonts w:ascii="Times New Roman" w:eastAsia="Calibri" w:hAnsi="Times New Roman" w:cs="Times New Roman"/>
                <w:sz w:val="18"/>
                <w:szCs w:val="18"/>
                <w:lang w:val="it-CH"/>
              </w:rPr>
              <w:t xml:space="preserve"> </w:t>
            </w:r>
            <w:r w:rsidR="00905100" w:rsidRPr="00556412">
              <w:rPr>
                <w:rFonts w:ascii="Times New Roman" w:eastAsia="Calibri" w:hAnsi="Times New Roman" w:cs="Times New Roman"/>
                <w:sz w:val="18"/>
                <w:szCs w:val="18"/>
                <w:lang w:val="it-CH"/>
              </w:rPr>
              <w:t xml:space="preserve">këtij neni nuk do t'i komunikohet Komisionit Evropian. </w:t>
            </w:r>
          </w:p>
          <w:p w14:paraId="6F240FFE" w14:textId="5E5E525E" w:rsidR="00905100" w:rsidRPr="00556412" w:rsidRDefault="007A3586" w:rsidP="00556412">
            <w:pPr>
              <w:spacing w:before="100" w:beforeAutospacing="1" w:after="100" w:afterAutospacing="1" w:line="240" w:lineRule="atLeast"/>
              <w:jc w:val="both"/>
              <w:rPr>
                <w:rFonts w:ascii="Times New Roman" w:eastAsia="Calibri" w:hAnsi="Times New Roman" w:cs="Times New Roman"/>
                <w:sz w:val="18"/>
                <w:szCs w:val="18"/>
                <w:lang w:val="it-CH"/>
              </w:rPr>
            </w:pPr>
            <w:r w:rsidRPr="00556412">
              <w:rPr>
                <w:rFonts w:ascii="Times New Roman" w:eastAsia="Calibri" w:hAnsi="Times New Roman" w:cs="Times New Roman"/>
                <w:sz w:val="18"/>
                <w:szCs w:val="18"/>
                <w:lang w:val="it-CH"/>
              </w:rPr>
              <w:t>4.</w:t>
            </w:r>
            <w:r w:rsidR="00905100" w:rsidRPr="00556412">
              <w:rPr>
                <w:rFonts w:ascii="Times New Roman" w:eastAsia="Calibri" w:hAnsi="Times New Roman" w:cs="Times New Roman"/>
                <w:sz w:val="18"/>
                <w:szCs w:val="18"/>
                <w:lang w:val="it-CH"/>
              </w:rPr>
              <w:t xml:space="preserve">Autoriteti kompetent i shteteve anëtare, i identifikuar në </w:t>
            </w:r>
            <w:r w:rsidR="005B0824" w:rsidRPr="00556412">
              <w:rPr>
                <w:rFonts w:ascii="Times New Roman" w:eastAsia="Calibri" w:hAnsi="Times New Roman" w:cs="Times New Roman"/>
                <w:sz w:val="18"/>
                <w:szCs w:val="18"/>
                <w:lang w:val="it-CH"/>
              </w:rPr>
              <w:t>shkronj</w:t>
            </w:r>
            <w:r w:rsidR="00CD309C">
              <w:rPr>
                <w:rFonts w:ascii="Times New Roman" w:eastAsia="Calibri" w:hAnsi="Times New Roman" w:cs="Times New Roman"/>
                <w:sz w:val="18"/>
                <w:szCs w:val="18"/>
                <w:lang w:val="it-CH"/>
              </w:rPr>
              <w:t>ë</w:t>
            </w:r>
            <w:r w:rsidR="005B0824" w:rsidRPr="00556412">
              <w:rPr>
                <w:rFonts w:ascii="Times New Roman" w:eastAsia="Calibri" w:hAnsi="Times New Roman" w:cs="Times New Roman"/>
                <w:sz w:val="18"/>
                <w:szCs w:val="18"/>
                <w:lang w:val="it-CH"/>
              </w:rPr>
              <w:t>n j) t</w:t>
            </w:r>
            <w:r w:rsidR="00CD309C">
              <w:rPr>
                <w:rFonts w:ascii="Times New Roman" w:eastAsia="Calibri" w:hAnsi="Times New Roman" w:cs="Times New Roman"/>
                <w:sz w:val="18"/>
                <w:szCs w:val="18"/>
                <w:lang w:val="it-CH"/>
              </w:rPr>
              <w:t>ë</w:t>
            </w:r>
            <w:r w:rsidR="005B0824" w:rsidRPr="00556412">
              <w:rPr>
                <w:rFonts w:ascii="Times New Roman" w:eastAsia="Calibri" w:hAnsi="Times New Roman" w:cs="Times New Roman"/>
                <w:sz w:val="18"/>
                <w:szCs w:val="18"/>
                <w:lang w:val="it-CH"/>
              </w:rPr>
              <w:t xml:space="preserve"> pik</w:t>
            </w:r>
            <w:r w:rsidR="00CD309C">
              <w:rPr>
                <w:rFonts w:ascii="Times New Roman" w:eastAsia="Calibri" w:hAnsi="Times New Roman" w:cs="Times New Roman"/>
                <w:sz w:val="18"/>
                <w:szCs w:val="18"/>
                <w:lang w:val="it-CH"/>
              </w:rPr>
              <w:t>ë</w:t>
            </w:r>
            <w:r w:rsidR="005B0824" w:rsidRPr="00556412">
              <w:rPr>
                <w:rFonts w:ascii="Times New Roman" w:eastAsia="Calibri" w:hAnsi="Times New Roman" w:cs="Times New Roman"/>
                <w:sz w:val="18"/>
                <w:szCs w:val="18"/>
                <w:lang w:val="it-CH"/>
              </w:rPr>
              <w:t>s 1 t</w:t>
            </w:r>
            <w:r w:rsidR="00CD309C">
              <w:rPr>
                <w:rFonts w:ascii="Times New Roman" w:eastAsia="Calibri" w:hAnsi="Times New Roman" w:cs="Times New Roman"/>
                <w:sz w:val="18"/>
                <w:szCs w:val="18"/>
                <w:lang w:val="it-CH"/>
              </w:rPr>
              <w:t>ë</w:t>
            </w:r>
            <w:r w:rsidR="005B0824" w:rsidRPr="00556412">
              <w:rPr>
                <w:rFonts w:ascii="Times New Roman" w:eastAsia="Calibri" w:hAnsi="Times New Roman" w:cs="Times New Roman"/>
                <w:sz w:val="18"/>
                <w:szCs w:val="18"/>
                <w:lang w:val="it-CH"/>
              </w:rPr>
              <w:t xml:space="preserve"> k</w:t>
            </w:r>
            <w:r w:rsidR="00CD309C">
              <w:rPr>
                <w:rFonts w:ascii="Times New Roman" w:eastAsia="Calibri" w:hAnsi="Times New Roman" w:cs="Times New Roman"/>
                <w:sz w:val="18"/>
                <w:szCs w:val="18"/>
                <w:lang w:val="it-CH"/>
              </w:rPr>
              <w:t>ë</w:t>
            </w:r>
            <w:r w:rsidR="005B0824" w:rsidRPr="00556412">
              <w:rPr>
                <w:rFonts w:ascii="Times New Roman" w:eastAsia="Calibri" w:hAnsi="Times New Roman" w:cs="Times New Roman"/>
                <w:sz w:val="18"/>
                <w:szCs w:val="18"/>
                <w:lang w:val="it-CH"/>
              </w:rPr>
              <w:t>tij neni</w:t>
            </w:r>
            <w:r w:rsidR="00905100" w:rsidRPr="00556412">
              <w:rPr>
                <w:rFonts w:ascii="Times New Roman" w:eastAsia="Calibri" w:hAnsi="Times New Roman" w:cs="Times New Roman"/>
                <w:sz w:val="18"/>
                <w:szCs w:val="18"/>
                <w:lang w:val="it-CH"/>
              </w:rPr>
              <w:t xml:space="preserve"> , do të konfirmojë, nëse është e mundur me mjete elektronike, marrjen e informacionit tek autoriteti kompetent që ka dhënë informacionin pa vonesë dhe në çdo rast jo më vonë se shtatë ditë pune. Kjo masë do të zbatohet derisa drejtoria qendrore të bëhet funksionale.</w:t>
            </w:r>
          </w:p>
          <w:p w14:paraId="13F62F97" w14:textId="77777777" w:rsidR="003C045B" w:rsidRPr="00556412" w:rsidRDefault="003C045B" w:rsidP="00556412">
            <w:pPr>
              <w:spacing w:line="240" w:lineRule="atLeast"/>
              <w:jc w:val="center"/>
              <w:rPr>
                <w:rFonts w:ascii="Times New Roman" w:hAnsi="Times New Roman" w:cs="Times New Roman"/>
                <w:sz w:val="18"/>
                <w:szCs w:val="18"/>
              </w:rPr>
            </w:pPr>
          </w:p>
          <w:p w14:paraId="5C51FE4B" w14:textId="77777777" w:rsidR="00A40F57" w:rsidRPr="00556412" w:rsidRDefault="00A40F57" w:rsidP="00556412">
            <w:pPr>
              <w:spacing w:line="240" w:lineRule="atLeast"/>
              <w:jc w:val="center"/>
              <w:rPr>
                <w:rFonts w:ascii="Times New Roman" w:eastAsia="Calibri" w:hAnsi="Times New Roman" w:cs="Times New Roman"/>
                <w:sz w:val="18"/>
                <w:szCs w:val="18"/>
                <w:lang w:val="it-CH"/>
              </w:rPr>
            </w:pPr>
          </w:p>
          <w:p w14:paraId="4C6A0FC1" w14:textId="52D86196" w:rsidR="003C045B" w:rsidRPr="00556412" w:rsidRDefault="003C045B" w:rsidP="00556412">
            <w:pPr>
              <w:spacing w:line="240" w:lineRule="atLeast"/>
              <w:jc w:val="center"/>
              <w:rPr>
                <w:rFonts w:ascii="Times New Roman" w:eastAsia="Calibri" w:hAnsi="Times New Roman" w:cs="Times New Roman"/>
                <w:sz w:val="18"/>
                <w:szCs w:val="18"/>
                <w:lang w:val="it-CH"/>
              </w:rPr>
            </w:pPr>
          </w:p>
        </w:tc>
        <w:tc>
          <w:tcPr>
            <w:tcW w:w="976" w:type="dxa"/>
            <w:shd w:val="clear" w:color="auto" w:fill="F2F2F2"/>
          </w:tcPr>
          <w:p w14:paraId="1BEB4026" w14:textId="68196866" w:rsidR="003C045B" w:rsidRPr="00556412" w:rsidRDefault="00C917BB" w:rsidP="00556412">
            <w:pPr>
              <w:spacing w:line="240" w:lineRule="atLeast"/>
              <w:rPr>
                <w:rFonts w:ascii="Times New Roman" w:eastAsia="Calibri" w:hAnsi="Times New Roman" w:cs="Times New Roman"/>
                <w:sz w:val="18"/>
                <w:szCs w:val="18"/>
                <w:lang w:val="en-US"/>
              </w:rPr>
            </w:pPr>
            <w:r w:rsidRPr="00556412">
              <w:rPr>
                <w:rFonts w:ascii="Times New Roman" w:eastAsia="Calibri" w:hAnsi="Times New Roman" w:cs="Times New Roman"/>
                <w:sz w:val="18"/>
                <w:szCs w:val="18"/>
                <w:lang w:val="en-US"/>
              </w:rPr>
              <w:t>F</w:t>
            </w:r>
          </w:p>
        </w:tc>
        <w:tc>
          <w:tcPr>
            <w:tcW w:w="3150" w:type="dxa"/>
            <w:shd w:val="clear" w:color="auto" w:fill="F2F2F2"/>
          </w:tcPr>
          <w:p w14:paraId="66795176" w14:textId="7C2CE46D" w:rsidR="00F82F30" w:rsidRPr="00556412" w:rsidRDefault="00F82F30" w:rsidP="00556412">
            <w:pPr>
              <w:pStyle w:val="NormalWeb"/>
              <w:spacing w:line="240" w:lineRule="atLeast"/>
              <w:jc w:val="both"/>
              <w:rPr>
                <w:rFonts w:eastAsia="Calibri"/>
                <w:sz w:val="18"/>
                <w:szCs w:val="18"/>
              </w:rPr>
            </w:pPr>
          </w:p>
          <w:p w14:paraId="2B08ADE6" w14:textId="5224A0C4" w:rsidR="003C045B" w:rsidRPr="00556412" w:rsidRDefault="003C045B" w:rsidP="00556412">
            <w:pPr>
              <w:pStyle w:val="NormalWeb"/>
              <w:spacing w:line="240" w:lineRule="atLeast"/>
              <w:jc w:val="both"/>
              <w:rPr>
                <w:rFonts w:eastAsia="Calibri"/>
                <w:sz w:val="18"/>
                <w:szCs w:val="18"/>
              </w:rPr>
            </w:pPr>
          </w:p>
        </w:tc>
      </w:tr>
      <w:tr w:rsidR="003C045B" w:rsidRPr="00556412" w14:paraId="0A280824" w14:textId="77777777" w:rsidTr="003C3604">
        <w:tc>
          <w:tcPr>
            <w:tcW w:w="540" w:type="dxa"/>
          </w:tcPr>
          <w:p w14:paraId="4CC1BC67" w14:textId="654A2C67" w:rsidR="003C045B" w:rsidRPr="00556412" w:rsidRDefault="003C045B" w:rsidP="00556412">
            <w:pPr>
              <w:spacing w:line="240" w:lineRule="atLeast"/>
              <w:jc w:val="both"/>
              <w:rPr>
                <w:rFonts w:ascii="Times New Roman" w:eastAsia="Calibri" w:hAnsi="Times New Roman" w:cs="Times New Roman"/>
                <w:sz w:val="18"/>
                <w:szCs w:val="18"/>
                <w:lang w:val="en-US"/>
              </w:rPr>
            </w:pPr>
          </w:p>
        </w:tc>
        <w:tc>
          <w:tcPr>
            <w:tcW w:w="5400" w:type="dxa"/>
          </w:tcPr>
          <w:p w14:paraId="3F658A9F" w14:textId="2CBE5AB5" w:rsidR="003C045B" w:rsidRPr="00556412" w:rsidRDefault="00F82F30" w:rsidP="00556412">
            <w:pPr>
              <w:spacing w:line="240" w:lineRule="atLeast"/>
              <w:jc w:val="both"/>
              <w:rPr>
                <w:rFonts w:ascii="Times New Roman" w:eastAsia="Calibri" w:hAnsi="Times New Roman" w:cs="Times New Roman"/>
                <w:iCs/>
                <w:sz w:val="18"/>
                <w:szCs w:val="18"/>
                <w:lang w:val="en-US"/>
              </w:rPr>
            </w:pPr>
            <w:r w:rsidRPr="00556412">
              <w:rPr>
                <w:rFonts w:ascii="Times New Roman" w:eastAsia="Calibri" w:hAnsi="Times New Roman" w:cs="Times New Roman"/>
                <w:iCs/>
                <w:sz w:val="18"/>
                <w:szCs w:val="18"/>
                <w:lang w:val="en-US"/>
              </w:rPr>
              <w:t xml:space="preserve">10.   Member States may, in accordance </w:t>
            </w:r>
            <w:r w:rsidR="00CD309C">
              <w:rPr>
                <w:rFonts w:ascii="Times New Roman" w:eastAsia="Calibri" w:hAnsi="Times New Roman" w:cs="Times New Roman"/>
                <w:iCs/>
                <w:sz w:val="18"/>
                <w:szCs w:val="18"/>
                <w:lang w:val="en-US"/>
              </w:rPr>
              <w:t>ë</w:t>
            </w:r>
            <w:r w:rsidRPr="00556412">
              <w:rPr>
                <w:rFonts w:ascii="Times New Roman" w:eastAsia="Calibri" w:hAnsi="Times New Roman" w:cs="Times New Roman"/>
                <w:iCs/>
                <w:sz w:val="18"/>
                <w:szCs w:val="18"/>
                <w:lang w:val="en-US"/>
              </w:rPr>
              <w:t>ith Article 5, and having regard to Article 21(4), request additional information, including the full text of an advance cross-border ruling or an advance pricing arrangement.</w:t>
            </w:r>
          </w:p>
        </w:tc>
        <w:tc>
          <w:tcPr>
            <w:tcW w:w="540" w:type="dxa"/>
          </w:tcPr>
          <w:p w14:paraId="68B1A8F1" w14:textId="6488B5E5" w:rsidR="003C045B" w:rsidRPr="00556412" w:rsidRDefault="003C045B" w:rsidP="00556412">
            <w:pPr>
              <w:spacing w:line="240" w:lineRule="atLeast"/>
              <w:jc w:val="center"/>
              <w:rPr>
                <w:rFonts w:ascii="Times New Roman" w:eastAsia="Calibri" w:hAnsi="Times New Roman" w:cs="Times New Roman"/>
                <w:sz w:val="18"/>
                <w:szCs w:val="18"/>
              </w:rPr>
            </w:pPr>
          </w:p>
        </w:tc>
        <w:tc>
          <w:tcPr>
            <w:tcW w:w="630" w:type="dxa"/>
          </w:tcPr>
          <w:p w14:paraId="129A8AC4" w14:textId="021A3398" w:rsidR="003C045B" w:rsidRPr="00556412" w:rsidRDefault="000957A0" w:rsidP="00556412">
            <w:pPr>
              <w:spacing w:line="240" w:lineRule="atLeast"/>
              <w:jc w:val="center"/>
              <w:rPr>
                <w:rFonts w:ascii="Times New Roman" w:eastAsia="Calibri" w:hAnsi="Times New Roman" w:cs="Times New Roman"/>
                <w:sz w:val="18"/>
                <w:szCs w:val="18"/>
                <w:lang w:val="en-US"/>
              </w:rPr>
            </w:pPr>
            <w:r w:rsidRPr="00556412">
              <w:rPr>
                <w:rFonts w:ascii="Times New Roman" w:eastAsia="Calibri" w:hAnsi="Times New Roman" w:cs="Times New Roman"/>
                <w:sz w:val="18"/>
                <w:szCs w:val="18"/>
                <w:lang w:val="en-US"/>
              </w:rPr>
              <w:t>Neni</w:t>
            </w:r>
            <w:r w:rsidR="00C917BB" w:rsidRPr="00556412">
              <w:rPr>
                <w:rFonts w:ascii="Times New Roman" w:eastAsia="Calibri" w:hAnsi="Times New Roman" w:cs="Times New Roman"/>
                <w:sz w:val="18"/>
                <w:szCs w:val="18"/>
                <w:lang w:val="en-US"/>
              </w:rPr>
              <w:t xml:space="preserve"> </w:t>
            </w:r>
            <w:r w:rsidR="00AB5C28" w:rsidRPr="00556412">
              <w:rPr>
                <w:rFonts w:ascii="Times New Roman" w:eastAsia="Calibri" w:hAnsi="Times New Roman" w:cs="Times New Roman"/>
                <w:sz w:val="18"/>
                <w:szCs w:val="18"/>
                <w:lang w:val="en-US"/>
              </w:rPr>
              <w:t>8</w:t>
            </w:r>
          </w:p>
        </w:tc>
        <w:tc>
          <w:tcPr>
            <w:tcW w:w="4964" w:type="dxa"/>
          </w:tcPr>
          <w:p w14:paraId="7FBEBFF6" w14:textId="7EB40697" w:rsidR="00EB2C6A" w:rsidRPr="00556412" w:rsidRDefault="00EB2C6A" w:rsidP="00556412">
            <w:pPr>
              <w:spacing w:line="240" w:lineRule="atLeast"/>
              <w:jc w:val="center"/>
              <w:rPr>
                <w:rFonts w:ascii="Times New Roman" w:hAnsi="Times New Roman" w:cs="Times New Roman"/>
                <w:b/>
                <w:sz w:val="18"/>
                <w:szCs w:val="18"/>
              </w:rPr>
            </w:pPr>
            <w:r w:rsidRPr="00556412">
              <w:rPr>
                <w:rFonts w:ascii="Times New Roman" w:hAnsi="Times New Roman" w:cs="Times New Roman"/>
                <w:b/>
                <w:sz w:val="18"/>
                <w:szCs w:val="18"/>
              </w:rPr>
              <w:t xml:space="preserve">Neni </w:t>
            </w:r>
            <w:r w:rsidR="00205E01" w:rsidRPr="00556412">
              <w:rPr>
                <w:rFonts w:ascii="Times New Roman" w:hAnsi="Times New Roman" w:cs="Times New Roman"/>
                <w:b/>
                <w:sz w:val="18"/>
                <w:szCs w:val="18"/>
              </w:rPr>
              <w:t>8</w:t>
            </w:r>
          </w:p>
          <w:p w14:paraId="5B6DD593" w14:textId="77777777" w:rsidR="00205E01" w:rsidRPr="00556412" w:rsidRDefault="00205E01" w:rsidP="00556412">
            <w:pPr>
              <w:spacing w:line="240" w:lineRule="atLeast"/>
              <w:jc w:val="center"/>
              <w:rPr>
                <w:rFonts w:ascii="Times New Roman" w:hAnsi="Times New Roman" w:cs="Times New Roman"/>
                <w:b/>
                <w:sz w:val="18"/>
                <w:szCs w:val="18"/>
              </w:rPr>
            </w:pPr>
          </w:p>
          <w:p w14:paraId="53D74FB4" w14:textId="77777777" w:rsidR="00EB2C6A" w:rsidRPr="00556412" w:rsidRDefault="00EB2C6A" w:rsidP="00556412">
            <w:pPr>
              <w:spacing w:line="240" w:lineRule="atLeast"/>
              <w:jc w:val="center"/>
              <w:rPr>
                <w:rFonts w:ascii="Times New Roman" w:hAnsi="Times New Roman" w:cs="Times New Roman"/>
                <w:b/>
                <w:sz w:val="18"/>
                <w:szCs w:val="18"/>
              </w:rPr>
            </w:pPr>
            <w:r w:rsidRPr="00556412">
              <w:rPr>
                <w:rFonts w:ascii="Times New Roman" w:hAnsi="Times New Roman" w:cs="Times New Roman"/>
                <w:b/>
                <w:sz w:val="18"/>
                <w:szCs w:val="18"/>
              </w:rPr>
              <w:t>Informacion plotësues sipas kërkesës</w:t>
            </w:r>
          </w:p>
          <w:p w14:paraId="4A28735B" w14:textId="51AFB988" w:rsidR="003C045B" w:rsidRPr="00556412" w:rsidRDefault="007A3586" w:rsidP="00556412">
            <w:pPr>
              <w:spacing w:line="240" w:lineRule="atLeast"/>
              <w:jc w:val="both"/>
              <w:rPr>
                <w:rFonts w:ascii="Times New Roman" w:hAnsi="Times New Roman" w:cs="Times New Roman"/>
                <w:sz w:val="18"/>
                <w:szCs w:val="18"/>
              </w:rPr>
            </w:pPr>
            <w:r w:rsidRPr="00556412">
              <w:rPr>
                <w:rFonts w:ascii="Times New Roman" w:hAnsi="Times New Roman" w:cs="Times New Roman"/>
                <w:sz w:val="18"/>
                <w:szCs w:val="18"/>
                <w:lang w:val="sq-AL"/>
              </w:rPr>
              <w:t xml:space="preserve">Pas përfundimit të shkëmbimit automatik të informacionit bazë të parashikuar në nenin 7, Drejtoria e Përgjithshme e Tatimeve, me kërkesë të arsyetuar të një autoriteti kompetent të një shteti anëtar, </w:t>
            </w:r>
            <w:r w:rsidRPr="00556412">
              <w:rPr>
                <w:rFonts w:ascii="Times New Roman" w:hAnsi="Times New Roman" w:cs="Times New Roman"/>
                <w:sz w:val="18"/>
                <w:szCs w:val="18"/>
                <w:lang w:val="sq-AL"/>
              </w:rPr>
              <w:lastRenderedPageBreak/>
              <w:t>siguron informacion shtesë, duke përfshirë tekstin e plotë të vendimit paraprak ndërkufitar ose të Marrëveshjes së Çmimit në Avancë (MÇA), në përputhje me rregullat e konfidencialitetit dhe mbrojtjes së të dhënave dhe nëpërmjet kanaleve të sigurta të komunikimit të parashikuara nga legjislacioni i Bashkimit Evropian.</w:t>
            </w:r>
            <w:r w:rsidR="00EB2C6A" w:rsidRPr="00556412">
              <w:rPr>
                <w:rFonts w:ascii="Times New Roman" w:hAnsi="Times New Roman" w:cs="Times New Roman"/>
                <w:sz w:val="18"/>
                <w:szCs w:val="18"/>
              </w:rPr>
              <w:t>.</w:t>
            </w:r>
          </w:p>
          <w:p w14:paraId="5AA6CCE5" w14:textId="297A2785" w:rsidR="003C045B" w:rsidRPr="00556412" w:rsidRDefault="003C045B" w:rsidP="00556412">
            <w:pPr>
              <w:spacing w:line="240" w:lineRule="atLeast"/>
              <w:jc w:val="center"/>
              <w:rPr>
                <w:rFonts w:ascii="Times New Roman" w:eastAsia="Calibri" w:hAnsi="Times New Roman" w:cs="Times New Roman"/>
                <w:sz w:val="18"/>
                <w:szCs w:val="18"/>
                <w:lang w:val="sq-AL"/>
              </w:rPr>
            </w:pPr>
          </w:p>
        </w:tc>
        <w:tc>
          <w:tcPr>
            <w:tcW w:w="976" w:type="dxa"/>
          </w:tcPr>
          <w:p w14:paraId="4C0F418F" w14:textId="09C79E43" w:rsidR="003C045B" w:rsidRPr="00556412" w:rsidRDefault="00C917BB" w:rsidP="00556412">
            <w:pPr>
              <w:spacing w:line="240" w:lineRule="atLeast"/>
              <w:jc w:val="center"/>
              <w:rPr>
                <w:rFonts w:ascii="Times New Roman" w:eastAsia="Calibri" w:hAnsi="Times New Roman" w:cs="Times New Roman"/>
                <w:sz w:val="18"/>
                <w:szCs w:val="18"/>
                <w:lang w:val="en-US"/>
              </w:rPr>
            </w:pPr>
            <w:r w:rsidRPr="00556412">
              <w:rPr>
                <w:rFonts w:ascii="Times New Roman" w:eastAsia="Calibri" w:hAnsi="Times New Roman" w:cs="Times New Roman"/>
                <w:sz w:val="18"/>
                <w:szCs w:val="18"/>
                <w:lang w:val="en-US"/>
              </w:rPr>
              <w:lastRenderedPageBreak/>
              <w:t>F</w:t>
            </w:r>
          </w:p>
        </w:tc>
        <w:tc>
          <w:tcPr>
            <w:tcW w:w="3150" w:type="dxa"/>
          </w:tcPr>
          <w:p w14:paraId="7699D7EC" w14:textId="77777777" w:rsidR="00CE6B7A" w:rsidRPr="00556412" w:rsidRDefault="00CE6B7A" w:rsidP="00556412">
            <w:pPr>
              <w:spacing w:line="240" w:lineRule="atLeast"/>
              <w:rPr>
                <w:rFonts w:ascii="Times New Roman" w:eastAsia="Calibri" w:hAnsi="Times New Roman" w:cs="Times New Roman"/>
                <w:sz w:val="18"/>
                <w:szCs w:val="18"/>
                <w:lang w:val="en-US"/>
              </w:rPr>
            </w:pPr>
          </w:p>
          <w:p w14:paraId="0052F906" w14:textId="04F93D2C" w:rsidR="003C045B" w:rsidRPr="00556412" w:rsidRDefault="003C045B" w:rsidP="00556412">
            <w:pPr>
              <w:spacing w:line="240" w:lineRule="atLeast"/>
              <w:rPr>
                <w:rFonts w:ascii="Times New Roman" w:eastAsia="Calibri" w:hAnsi="Times New Roman" w:cs="Times New Roman"/>
                <w:sz w:val="18"/>
                <w:szCs w:val="18"/>
                <w:lang w:val="en-US"/>
              </w:rPr>
            </w:pPr>
          </w:p>
        </w:tc>
      </w:tr>
      <w:tr w:rsidR="003C045B" w:rsidRPr="00556412" w14:paraId="42D63892" w14:textId="77777777" w:rsidTr="003C3604">
        <w:trPr>
          <w:trHeight w:val="1008"/>
        </w:trPr>
        <w:tc>
          <w:tcPr>
            <w:tcW w:w="540" w:type="dxa"/>
          </w:tcPr>
          <w:p w14:paraId="3CCCFFF5" w14:textId="3D21E7E1" w:rsidR="003C045B" w:rsidRPr="00556412" w:rsidRDefault="003C045B" w:rsidP="00556412">
            <w:pPr>
              <w:spacing w:line="240" w:lineRule="atLeast"/>
              <w:jc w:val="both"/>
              <w:rPr>
                <w:rFonts w:ascii="Times New Roman" w:eastAsia="Calibri" w:hAnsi="Times New Roman" w:cs="Times New Roman"/>
                <w:sz w:val="18"/>
                <w:szCs w:val="18"/>
                <w:lang w:val="en-US"/>
              </w:rPr>
            </w:pPr>
            <w:bookmarkStart w:id="1" w:name="_Hlk227911050"/>
          </w:p>
        </w:tc>
        <w:tc>
          <w:tcPr>
            <w:tcW w:w="5400" w:type="dxa"/>
            <w:shd w:val="clear" w:color="auto" w:fill="D0CECE" w:themeFill="background2" w:themeFillShade="E6"/>
          </w:tcPr>
          <w:p w14:paraId="1D287C11" w14:textId="77777777" w:rsidR="00875997" w:rsidRPr="00556412" w:rsidRDefault="00875997" w:rsidP="00556412">
            <w:pPr>
              <w:spacing w:before="100" w:beforeAutospacing="1" w:after="100" w:afterAutospacing="1" w:line="240" w:lineRule="atLeast"/>
              <w:jc w:val="center"/>
              <w:outlineLvl w:val="2"/>
              <w:rPr>
                <w:rFonts w:ascii="Times New Roman" w:eastAsia="Times New Roman" w:hAnsi="Times New Roman" w:cs="Times New Roman"/>
                <w:b/>
                <w:bCs/>
                <w:sz w:val="18"/>
                <w:szCs w:val="18"/>
              </w:rPr>
            </w:pPr>
            <w:r w:rsidRPr="00556412">
              <w:rPr>
                <w:rFonts w:ascii="Times New Roman" w:eastAsia="Times New Roman" w:hAnsi="Times New Roman" w:cs="Times New Roman"/>
                <w:b/>
                <w:bCs/>
                <w:sz w:val="18"/>
                <w:szCs w:val="18"/>
              </w:rPr>
              <w:t>Neni 8b</w:t>
            </w:r>
          </w:p>
          <w:p w14:paraId="1F8428AC" w14:textId="60B29B37" w:rsidR="003C045B" w:rsidRPr="00556412" w:rsidRDefault="00875997" w:rsidP="00556412">
            <w:pPr>
              <w:spacing w:before="100" w:beforeAutospacing="1" w:after="100" w:afterAutospacing="1" w:line="240" w:lineRule="atLeast"/>
              <w:jc w:val="center"/>
              <w:rPr>
                <w:rFonts w:ascii="Times New Roman" w:eastAsia="Times New Roman" w:hAnsi="Times New Roman" w:cs="Times New Roman"/>
                <w:sz w:val="18"/>
                <w:szCs w:val="18"/>
              </w:rPr>
            </w:pPr>
            <w:r w:rsidRPr="00556412">
              <w:rPr>
                <w:rFonts w:ascii="Times New Roman" w:eastAsia="Times New Roman" w:hAnsi="Times New Roman" w:cs="Times New Roman"/>
                <w:b/>
                <w:bCs/>
                <w:sz w:val="18"/>
                <w:szCs w:val="18"/>
              </w:rPr>
              <w:t>Statistikat mbi shkëmbimet automatike</w:t>
            </w:r>
          </w:p>
        </w:tc>
        <w:tc>
          <w:tcPr>
            <w:tcW w:w="540" w:type="dxa"/>
            <w:shd w:val="clear" w:color="auto" w:fill="D0CECE" w:themeFill="background2" w:themeFillShade="E6"/>
          </w:tcPr>
          <w:p w14:paraId="7A167751" w14:textId="4D6AA9CF" w:rsidR="003C045B" w:rsidRPr="00556412" w:rsidRDefault="003C045B" w:rsidP="00556412">
            <w:pPr>
              <w:spacing w:line="240" w:lineRule="atLeast"/>
              <w:rPr>
                <w:rFonts w:ascii="Times New Roman" w:eastAsia="Calibri" w:hAnsi="Times New Roman" w:cs="Times New Roman"/>
                <w:sz w:val="18"/>
                <w:szCs w:val="18"/>
              </w:rPr>
            </w:pPr>
          </w:p>
        </w:tc>
        <w:tc>
          <w:tcPr>
            <w:tcW w:w="630" w:type="dxa"/>
            <w:shd w:val="clear" w:color="auto" w:fill="D0CECE" w:themeFill="background2" w:themeFillShade="E6"/>
          </w:tcPr>
          <w:p w14:paraId="584A3692" w14:textId="0563BE3A" w:rsidR="003C045B" w:rsidRPr="00556412" w:rsidRDefault="003C045B" w:rsidP="00556412">
            <w:pPr>
              <w:spacing w:line="240" w:lineRule="atLeast"/>
              <w:rPr>
                <w:rFonts w:ascii="Times New Roman" w:eastAsia="Calibri" w:hAnsi="Times New Roman" w:cs="Times New Roman"/>
                <w:sz w:val="18"/>
                <w:szCs w:val="18"/>
                <w:lang w:val="en-US"/>
              </w:rPr>
            </w:pPr>
          </w:p>
        </w:tc>
        <w:tc>
          <w:tcPr>
            <w:tcW w:w="4964" w:type="dxa"/>
            <w:shd w:val="clear" w:color="auto" w:fill="D0CECE" w:themeFill="background2" w:themeFillShade="E6"/>
          </w:tcPr>
          <w:p w14:paraId="321C5EE0" w14:textId="55324A93" w:rsidR="003C045B" w:rsidRPr="00556412" w:rsidRDefault="003C045B" w:rsidP="00556412">
            <w:pPr>
              <w:widowControl w:val="0"/>
              <w:tabs>
                <w:tab w:val="left" w:pos="742"/>
                <w:tab w:val="left" w:pos="744"/>
              </w:tabs>
              <w:autoSpaceDE w:val="0"/>
              <w:autoSpaceDN w:val="0"/>
              <w:spacing w:line="240" w:lineRule="atLeast"/>
              <w:ind w:right="15"/>
              <w:jc w:val="both"/>
              <w:rPr>
                <w:rFonts w:ascii="Times New Roman" w:eastAsia="Calibri" w:hAnsi="Times New Roman" w:cs="Times New Roman"/>
                <w:sz w:val="18"/>
                <w:szCs w:val="18"/>
                <w:lang w:val="en-US"/>
              </w:rPr>
            </w:pPr>
          </w:p>
        </w:tc>
        <w:tc>
          <w:tcPr>
            <w:tcW w:w="976" w:type="dxa"/>
            <w:shd w:val="clear" w:color="auto" w:fill="D0CECE" w:themeFill="background2" w:themeFillShade="E6"/>
          </w:tcPr>
          <w:p w14:paraId="05707711" w14:textId="4644B721" w:rsidR="003C045B" w:rsidRPr="00556412" w:rsidRDefault="003C045B" w:rsidP="00556412">
            <w:pPr>
              <w:spacing w:line="240" w:lineRule="atLeast"/>
              <w:jc w:val="center"/>
              <w:rPr>
                <w:rFonts w:ascii="Times New Roman" w:eastAsia="Calibri" w:hAnsi="Times New Roman" w:cs="Times New Roman"/>
                <w:sz w:val="18"/>
                <w:szCs w:val="18"/>
                <w:lang w:val="en-US"/>
              </w:rPr>
            </w:pPr>
          </w:p>
        </w:tc>
        <w:tc>
          <w:tcPr>
            <w:tcW w:w="3150" w:type="dxa"/>
            <w:shd w:val="clear" w:color="auto" w:fill="D0CECE" w:themeFill="background2" w:themeFillShade="E6"/>
          </w:tcPr>
          <w:p w14:paraId="1F1D51C2" w14:textId="572A6EB9" w:rsidR="003C045B" w:rsidRPr="00556412" w:rsidRDefault="003C045B" w:rsidP="00556412">
            <w:pPr>
              <w:spacing w:line="240" w:lineRule="atLeast"/>
              <w:rPr>
                <w:rFonts w:ascii="Times New Roman" w:eastAsia="Calibri" w:hAnsi="Times New Roman" w:cs="Times New Roman"/>
                <w:sz w:val="18"/>
                <w:szCs w:val="18"/>
                <w:lang w:val="en-US"/>
              </w:rPr>
            </w:pPr>
          </w:p>
        </w:tc>
      </w:tr>
      <w:bookmarkEnd w:id="1"/>
      <w:tr w:rsidR="003C045B" w:rsidRPr="00556412" w14:paraId="1E7B05E8" w14:textId="77777777" w:rsidTr="003C3604">
        <w:tc>
          <w:tcPr>
            <w:tcW w:w="540" w:type="dxa"/>
          </w:tcPr>
          <w:p w14:paraId="2F45229D" w14:textId="00C2B9F7" w:rsidR="003C045B" w:rsidRPr="00556412" w:rsidRDefault="003C045B" w:rsidP="00556412">
            <w:pPr>
              <w:spacing w:line="240" w:lineRule="atLeast"/>
              <w:jc w:val="both"/>
              <w:rPr>
                <w:rFonts w:ascii="Times New Roman" w:eastAsia="Calibri" w:hAnsi="Times New Roman" w:cs="Times New Roman"/>
                <w:sz w:val="18"/>
                <w:szCs w:val="18"/>
                <w:lang w:val="en-US"/>
              </w:rPr>
            </w:pPr>
          </w:p>
        </w:tc>
        <w:tc>
          <w:tcPr>
            <w:tcW w:w="5400" w:type="dxa"/>
          </w:tcPr>
          <w:p w14:paraId="03C26C10" w14:textId="77777777" w:rsidR="00875997" w:rsidRPr="00556412" w:rsidRDefault="00875997" w:rsidP="00556412">
            <w:pPr>
              <w:spacing w:line="240" w:lineRule="atLeast"/>
              <w:jc w:val="both"/>
              <w:rPr>
                <w:rFonts w:ascii="Times New Roman" w:eastAsia="Times New Roman" w:hAnsi="Times New Roman" w:cs="Times New Roman"/>
                <w:sz w:val="18"/>
                <w:szCs w:val="18"/>
              </w:rPr>
            </w:pPr>
            <w:r w:rsidRPr="00556412">
              <w:rPr>
                <w:rFonts w:ascii="Times New Roman" w:eastAsia="Times New Roman" w:hAnsi="Times New Roman" w:cs="Times New Roman"/>
                <w:sz w:val="18"/>
                <w:szCs w:val="18"/>
              </w:rPr>
              <w:t>Shtetet anëtare i japin Komisionit, çdo vit, statistika mbi vëllimin e shkëmbimeve automatike sipas neneve 8(1), 8(3a), 8aa, 8ac dhe 8ae, si dhe informacione mbi kostot administrative dhe kostot e tjera përkatëse dhe përfitimet që lidhen me shkëmbimet e kryera, si dhe për çdo ndryshim të mundshëm, si për administratat tatimore ashtu edhe për palët e treta.</w:t>
            </w:r>
          </w:p>
          <w:p w14:paraId="62A25992" w14:textId="5F2203F6" w:rsidR="003C045B" w:rsidRPr="00556412" w:rsidRDefault="003C045B" w:rsidP="00556412">
            <w:pPr>
              <w:spacing w:line="240" w:lineRule="atLeast"/>
              <w:rPr>
                <w:rFonts w:ascii="Times New Roman" w:eastAsia="Calibri" w:hAnsi="Times New Roman" w:cs="Times New Roman"/>
                <w:iCs/>
                <w:sz w:val="18"/>
                <w:szCs w:val="18"/>
                <w:lang w:val="en-US"/>
              </w:rPr>
            </w:pPr>
          </w:p>
        </w:tc>
        <w:tc>
          <w:tcPr>
            <w:tcW w:w="540" w:type="dxa"/>
          </w:tcPr>
          <w:p w14:paraId="696A29FD" w14:textId="61FB2EF3" w:rsidR="003C045B" w:rsidRPr="00556412" w:rsidRDefault="003C045B" w:rsidP="00556412">
            <w:pPr>
              <w:spacing w:line="240" w:lineRule="atLeast"/>
              <w:jc w:val="center"/>
              <w:rPr>
                <w:rFonts w:ascii="Times New Roman" w:eastAsia="Calibri" w:hAnsi="Times New Roman" w:cs="Times New Roman"/>
                <w:sz w:val="18"/>
                <w:szCs w:val="18"/>
              </w:rPr>
            </w:pPr>
          </w:p>
        </w:tc>
        <w:tc>
          <w:tcPr>
            <w:tcW w:w="630" w:type="dxa"/>
          </w:tcPr>
          <w:p w14:paraId="56E1EAE1" w14:textId="61CAF5BA" w:rsidR="003C045B" w:rsidRPr="00556412" w:rsidRDefault="00875997" w:rsidP="00556412">
            <w:pPr>
              <w:spacing w:line="240" w:lineRule="atLeast"/>
              <w:jc w:val="center"/>
              <w:rPr>
                <w:rFonts w:ascii="Times New Roman" w:eastAsia="Calibri" w:hAnsi="Times New Roman" w:cs="Times New Roman"/>
                <w:sz w:val="18"/>
                <w:szCs w:val="18"/>
                <w:highlight w:val="yellow"/>
                <w:lang w:val="en-US"/>
              </w:rPr>
            </w:pPr>
            <w:r w:rsidRPr="00556412">
              <w:rPr>
                <w:rFonts w:ascii="Times New Roman" w:eastAsia="Calibri" w:hAnsi="Times New Roman" w:cs="Times New Roman"/>
                <w:sz w:val="18"/>
                <w:szCs w:val="18"/>
                <w:lang w:val="en-US"/>
              </w:rPr>
              <w:t>Neni</w:t>
            </w:r>
            <w:r w:rsidR="00C917BB" w:rsidRPr="00556412">
              <w:rPr>
                <w:rFonts w:ascii="Times New Roman" w:eastAsia="Calibri" w:hAnsi="Times New Roman" w:cs="Times New Roman"/>
                <w:sz w:val="18"/>
                <w:szCs w:val="18"/>
                <w:lang w:val="en-US"/>
              </w:rPr>
              <w:t xml:space="preserve"> 1</w:t>
            </w:r>
            <w:r w:rsidR="004226BF" w:rsidRPr="00556412">
              <w:rPr>
                <w:rFonts w:ascii="Times New Roman" w:eastAsia="Calibri" w:hAnsi="Times New Roman" w:cs="Times New Roman"/>
                <w:sz w:val="18"/>
                <w:szCs w:val="18"/>
                <w:lang w:val="en-US"/>
              </w:rPr>
              <w:t>2</w:t>
            </w:r>
          </w:p>
        </w:tc>
        <w:tc>
          <w:tcPr>
            <w:tcW w:w="4964" w:type="dxa"/>
          </w:tcPr>
          <w:p w14:paraId="60414E92" w14:textId="77777777" w:rsidR="003C045B" w:rsidRPr="00556412" w:rsidRDefault="003C045B" w:rsidP="00556412">
            <w:pPr>
              <w:spacing w:line="240" w:lineRule="atLeast"/>
              <w:jc w:val="center"/>
              <w:rPr>
                <w:rFonts w:ascii="Times New Roman" w:hAnsi="Times New Roman" w:cs="Times New Roman"/>
                <w:sz w:val="18"/>
                <w:szCs w:val="18"/>
              </w:rPr>
            </w:pPr>
          </w:p>
          <w:p w14:paraId="2E30961B" w14:textId="1243FE2D" w:rsidR="00EB2C6A" w:rsidRPr="00556412" w:rsidRDefault="00EB2C6A" w:rsidP="00556412">
            <w:pPr>
              <w:spacing w:line="240" w:lineRule="atLeast"/>
              <w:jc w:val="center"/>
              <w:rPr>
                <w:rFonts w:ascii="Times New Roman" w:eastAsia="Calibri" w:hAnsi="Times New Roman" w:cs="Times New Roman"/>
                <w:b/>
                <w:sz w:val="18"/>
                <w:szCs w:val="18"/>
                <w:lang w:val="sq-AL"/>
              </w:rPr>
            </w:pPr>
            <w:r w:rsidRPr="00556412">
              <w:rPr>
                <w:rFonts w:ascii="Times New Roman" w:eastAsia="Calibri" w:hAnsi="Times New Roman" w:cs="Times New Roman"/>
                <w:b/>
                <w:sz w:val="18"/>
                <w:szCs w:val="18"/>
                <w:lang w:val="sq-AL"/>
              </w:rPr>
              <w:t>Neni 1</w:t>
            </w:r>
            <w:r w:rsidR="004226BF" w:rsidRPr="00556412">
              <w:rPr>
                <w:rFonts w:ascii="Times New Roman" w:eastAsia="Calibri" w:hAnsi="Times New Roman" w:cs="Times New Roman"/>
                <w:b/>
                <w:sz w:val="18"/>
                <w:szCs w:val="18"/>
                <w:lang w:val="sq-AL"/>
              </w:rPr>
              <w:t>2</w:t>
            </w:r>
          </w:p>
          <w:p w14:paraId="18FB4EF8" w14:textId="7D09FC9D" w:rsidR="00EB2C6A" w:rsidRPr="00556412" w:rsidRDefault="00EB2C6A" w:rsidP="00556412">
            <w:pPr>
              <w:spacing w:line="240" w:lineRule="atLeast"/>
              <w:jc w:val="center"/>
              <w:rPr>
                <w:rFonts w:ascii="Times New Roman" w:eastAsia="Calibri" w:hAnsi="Times New Roman" w:cs="Times New Roman"/>
                <w:b/>
                <w:sz w:val="18"/>
                <w:szCs w:val="18"/>
                <w:lang w:val="sq-AL"/>
              </w:rPr>
            </w:pPr>
            <w:r w:rsidRPr="00556412">
              <w:rPr>
                <w:rFonts w:ascii="Times New Roman" w:eastAsia="Calibri" w:hAnsi="Times New Roman" w:cs="Times New Roman"/>
                <w:b/>
                <w:sz w:val="18"/>
                <w:szCs w:val="18"/>
                <w:lang w:val="sq-AL"/>
              </w:rPr>
              <w:t>Statistikat dhe vlerësimi</w:t>
            </w:r>
          </w:p>
          <w:p w14:paraId="032D0288" w14:textId="77777777" w:rsidR="00EB2C6A" w:rsidRPr="00556412" w:rsidRDefault="00EB2C6A" w:rsidP="00556412">
            <w:pPr>
              <w:spacing w:line="240" w:lineRule="atLeast"/>
              <w:jc w:val="center"/>
              <w:rPr>
                <w:rFonts w:ascii="Times New Roman" w:eastAsia="Calibri" w:hAnsi="Times New Roman" w:cs="Times New Roman"/>
                <w:b/>
                <w:sz w:val="18"/>
                <w:szCs w:val="18"/>
                <w:lang w:val="sq-AL"/>
              </w:rPr>
            </w:pPr>
          </w:p>
          <w:p w14:paraId="6CD9BF0C" w14:textId="77777777" w:rsidR="00037679" w:rsidRPr="00556412" w:rsidRDefault="00037679" w:rsidP="00556412">
            <w:pPr>
              <w:pStyle w:val="ListParagraph"/>
              <w:numPr>
                <w:ilvl w:val="0"/>
                <w:numId w:val="49"/>
              </w:numPr>
              <w:spacing w:after="120" w:line="240" w:lineRule="atLeast"/>
              <w:ind w:left="360"/>
              <w:jc w:val="both"/>
              <w:rPr>
                <w:rFonts w:ascii="Times New Roman" w:hAnsi="Times New Roman" w:cs="Times New Roman"/>
                <w:sz w:val="18"/>
                <w:szCs w:val="18"/>
                <w:lang w:val="sq-AL"/>
              </w:rPr>
            </w:pPr>
            <w:r w:rsidRPr="00556412">
              <w:rPr>
                <w:rFonts w:ascii="Times New Roman" w:hAnsi="Times New Roman" w:cs="Times New Roman"/>
                <w:sz w:val="18"/>
                <w:szCs w:val="18"/>
                <w:lang w:val="sq-AL"/>
              </w:rPr>
              <w:t xml:space="preserve">Drejtoria e Përgjithshme e Tatimeve, në përputhje me këtë ligj, i paraqet Komisionit, çdo vit, statistikat lidhur me vëllimin e shkëmbimeve automatike, të informacionit  si dhe kur  është e mundur informacione mbi kostot administrative,  kostot e përfitimet e tjera përkatëse në lidhje me shkëmbimet e kryera dhe çdo ndryshim të mundshëm, si për administratat tatimore ashtu edhe për palët e treta. </w:t>
            </w:r>
          </w:p>
          <w:p w14:paraId="788310FD" w14:textId="77777777" w:rsidR="00037679" w:rsidRPr="00556412" w:rsidRDefault="00037679" w:rsidP="00556412">
            <w:pPr>
              <w:pStyle w:val="ListParagraph"/>
              <w:numPr>
                <w:ilvl w:val="0"/>
                <w:numId w:val="49"/>
              </w:numPr>
              <w:spacing w:after="120" w:line="240" w:lineRule="atLeast"/>
              <w:ind w:left="360"/>
              <w:jc w:val="both"/>
              <w:rPr>
                <w:rFonts w:ascii="Times New Roman" w:hAnsi="Times New Roman" w:cs="Times New Roman"/>
                <w:sz w:val="18"/>
                <w:szCs w:val="18"/>
                <w:lang w:val="sq-AL"/>
              </w:rPr>
            </w:pPr>
            <w:r w:rsidRPr="00556412">
              <w:rPr>
                <w:rFonts w:ascii="Times New Roman" w:hAnsi="Times New Roman" w:cs="Times New Roman"/>
                <w:sz w:val="18"/>
                <w:szCs w:val="18"/>
                <w:lang w:val="sq-AL"/>
              </w:rPr>
              <w:t>Drejtoria e Përgjithshme e Tatimeve i komunikon Komisionit një vlerësim vjetor të efektivitetit të shkëmbimit automatik të informacionit sipas këtij ligji, si dhe rezultatet praktike të arritura.</w:t>
            </w:r>
          </w:p>
          <w:p w14:paraId="572FADD3" w14:textId="7717C5D5" w:rsidR="00037679" w:rsidRPr="00556412" w:rsidRDefault="00037679" w:rsidP="00556412">
            <w:pPr>
              <w:pStyle w:val="ListParagraph"/>
              <w:numPr>
                <w:ilvl w:val="0"/>
                <w:numId w:val="49"/>
              </w:numPr>
              <w:spacing w:after="120" w:line="240" w:lineRule="atLeast"/>
              <w:ind w:left="360"/>
              <w:jc w:val="both"/>
              <w:rPr>
                <w:rFonts w:ascii="Times New Roman" w:hAnsi="Times New Roman" w:cs="Times New Roman"/>
                <w:sz w:val="18"/>
                <w:szCs w:val="18"/>
                <w:lang w:val="sq-AL"/>
              </w:rPr>
            </w:pPr>
            <w:r w:rsidRPr="00556412">
              <w:rPr>
                <w:rFonts w:ascii="Times New Roman" w:hAnsi="Times New Roman" w:cs="Times New Roman"/>
                <w:sz w:val="18"/>
                <w:szCs w:val="18"/>
                <w:lang w:val="sq-AL"/>
              </w:rPr>
              <w:t>Informacioni i komunikuar t Komisionit Evropian për vlerësim dhe statistika sipas këtij ligji i nënshtrohet kufizimeve të konfidencialitetit dhe përdorimit  ne perputhje me ligjin “Për Bashkëpunimin Administrativ në Fushën e Tatimeve dhe Shkëmbimin e Informacionit Tatimor”.</w:t>
            </w:r>
          </w:p>
          <w:p w14:paraId="5B2C517D" w14:textId="77777777" w:rsidR="00037679" w:rsidRPr="00556412" w:rsidRDefault="00037679" w:rsidP="00556412">
            <w:pPr>
              <w:pStyle w:val="ListParagraph"/>
              <w:numPr>
                <w:ilvl w:val="0"/>
                <w:numId w:val="49"/>
              </w:numPr>
              <w:spacing w:after="120" w:line="240" w:lineRule="atLeast"/>
              <w:ind w:left="360"/>
              <w:jc w:val="both"/>
              <w:rPr>
                <w:rFonts w:ascii="Times New Roman" w:hAnsi="Times New Roman" w:cs="Times New Roman"/>
                <w:sz w:val="18"/>
                <w:szCs w:val="18"/>
                <w:lang w:val="sq-AL"/>
              </w:rPr>
            </w:pPr>
            <w:r w:rsidRPr="00556412">
              <w:rPr>
                <w:rFonts w:ascii="Times New Roman" w:hAnsi="Times New Roman" w:cs="Times New Roman"/>
                <w:sz w:val="18"/>
                <w:szCs w:val="18"/>
                <w:lang w:val="sq-AL"/>
              </w:rPr>
              <w:t xml:space="preserve">Drejtoria e Përgjithshme e Tatimeve vendos mekanizma për të siguruar që informacioni i shkëmbyer sipas këtij ligji të </w:t>
            </w:r>
            <w:r w:rsidRPr="00556412">
              <w:rPr>
                <w:rFonts w:ascii="Times New Roman" w:hAnsi="Times New Roman" w:cs="Times New Roman"/>
                <w:sz w:val="18"/>
                <w:szCs w:val="18"/>
                <w:lang w:val="sq-AL"/>
              </w:rPr>
              <w:lastRenderedPageBreak/>
              <w:t xml:space="preserve">përdoret në mënyrë efektive për analizën e riskut, për përzgjedhjen dhe  kontrollin tatimor si dhe për dhe masat shtrenguese dhe vlerëson rregullisht performancën e këtyre mekanizmave.  </w:t>
            </w:r>
          </w:p>
          <w:p w14:paraId="7AD350A7" w14:textId="47003A9A" w:rsidR="003C045B" w:rsidRPr="00556412" w:rsidRDefault="003C045B" w:rsidP="00556412">
            <w:pPr>
              <w:spacing w:line="240" w:lineRule="atLeast"/>
              <w:jc w:val="both"/>
              <w:rPr>
                <w:rFonts w:ascii="Times New Roman" w:eastAsia="Calibri" w:hAnsi="Times New Roman" w:cs="Times New Roman"/>
                <w:sz w:val="18"/>
                <w:szCs w:val="18"/>
                <w:lang w:val="sq-AL"/>
              </w:rPr>
            </w:pPr>
          </w:p>
        </w:tc>
        <w:tc>
          <w:tcPr>
            <w:tcW w:w="976" w:type="dxa"/>
          </w:tcPr>
          <w:p w14:paraId="17CA02B8" w14:textId="441D3863" w:rsidR="003C045B" w:rsidRPr="00556412" w:rsidRDefault="00C917BB" w:rsidP="00556412">
            <w:pPr>
              <w:spacing w:line="240" w:lineRule="atLeast"/>
              <w:jc w:val="center"/>
              <w:rPr>
                <w:rFonts w:ascii="Times New Roman" w:eastAsia="Calibri" w:hAnsi="Times New Roman" w:cs="Times New Roman"/>
                <w:sz w:val="18"/>
                <w:szCs w:val="18"/>
                <w:lang w:val="en-US"/>
              </w:rPr>
            </w:pPr>
            <w:r w:rsidRPr="00556412">
              <w:rPr>
                <w:rFonts w:ascii="Times New Roman" w:eastAsia="Calibri" w:hAnsi="Times New Roman" w:cs="Times New Roman"/>
                <w:sz w:val="18"/>
                <w:szCs w:val="18"/>
                <w:lang w:val="en-US"/>
              </w:rPr>
              <w:lastRenderedPageBreak/>
              <w:t>F</w:t>
            </w:r>
          </w:p>
        </w:tc>
        <w:tc>
          <w:tcPr>
            <w:tcW w:w="3150" w:type="dxa"/>
          </w:tcPr>
          <w:p w14:paraId="62277331" w14:textId="25163563" w:rsidR="003C045B" w:rsidRPr="00556412" w:rsidRDefault="00CE6B7A" w:rsidP="00556412">
            <w:pPr>
              <w:spacing w:line="240" w:lineRule="atLeast"/>
              <w:rPr>
                <w:rFonts w:ascii="Times New Roman" w:eastAsia="Calibri" w:hAnsi="Times New Roman" w:cs="Times New Roman"/>
                <w:sz w:val="18"/>
                <w:szCs w:val="18"/>
                <w:lang w:val="en-US"/>
              </w:rPr>
            </w:pPr>
            <w:r w:rsidRPr="00556412">
              <w:rPr>
                <w:rFonts w:ascii="Times New Roman" w:eastAsia="Calibri" w:hAnsi="Times New Roman" w:cs="Times New Roman"/>
                <w:sz w:val="18"/>
                <w:szCs w:val="18"/>
                <w:lang w:val="en-US"/>
              </w:rPr>
              <w:t>.</w:t>
            </w:r>
          </w:p>
        </w:tc>
      </w:tr>
      <w:tr w:rsidR="00AD61E7" w:rsidRPr="001566F3" w14:paraId="52A8CC74" w14:textId="77777777" w:rsidTr="003C3604">
        <w:trPr>
          <w:trHeight w:val="1008"/>
        </w:trPr>
        <w:tc>
          <w:tcPr>
            <w:tcW w:w="540" w:type="dxa"/>
          </w:tcPr>
          <w:p w14:paraId="190CA677" w14:textId="77777777" w:rsidR="00AD61E7" w:rsidRPr="00556412" w:rsidRDefault="00AD61E7" w:rsidP="00556412">
            <w:pPr>
              <w:spacing w:line="240" w:lineRule="atLeast"/>
              <w:jc w:val="both"/>
              <w:rPr>
                <w:rFonts w:ascii="Times New Roman" w:eastAsia="Calibri" w:hAnsi="Times New Roman" w:cs="Times New Roman"/>
                <w:sz w:val="18"/>
                <w:szCs w:val="18"/>
                <w:lang w:val="en-US"/>
              </w:rPr>
            </w:pPr>
            <w:bookmarkStart w:id="2" w:name="_Hlk227914978"/>
          </w:p>
        </w:tc>
        <w:tc>
          <w:tcPr>
            <w:tcW w:w="5400" w:type="dxa"/>
            <w:shd w:val="clear" w:color="auto" w:fill="D0CECE" w:themeFill="background2" w:themeFillShade="E6"/>
          </w:tcPr>
          <w:p w14:paraId="68CF2437" w14:textId="27F3A217" w:rsidR="00B46145" w:rsidRPr="00556412" w:rsidRDefault="00875997" w:rsidP="00556412">
            <w:pPr>
              <w:spacing w:line="240" w:lineRule="atLeast"/>
              <w:jc w:val="center"/>
              <w:rPr>
                <w:rFonts w:ascii="Times New Roman" w:eastAsia="Calibri" w:hAnsi="Times New Roman" w:cs="Times New Roman"/>
                <w:b/>
                <w:iCs/>
                <w:sz w:val="18"/>
                <w:szCs w:val="18"/>
                <w:lang w:val="it-CH"/>
              </w:rPr>
            </w:pPr>
            <w:r w:rsidRPr="00556412">
              <w:rPr>
                <w:rFonts w:ascii="Times New Roman" w:eastAsia="Calibri" w:hAnsi="Times New Roman" w:cs="Times New Roman"/>
                <w:b/>
                <w:iCs/>
                <w:sz w:val="18"/>
                <w:szCs w:val="18"/>
                <w:lang w:val="it-CH"/>
              </w:rPr>
              <w:t>Neni</w:t>
            </w:r>
            <w:r w:rsidR="00B46145" w:rsidRPr="00556412">
              <w:rPr>
                <w:rFonts w:ascii="Times New Roman" w:eastAsia="Calibri" w:hAnsi="Times New Roman" w:cs="Times New Roman"/>
                <w:b/>
                <w:iCs/>
                <w:sz w:val="18"/>
                <w:szCs w:val="18"/>
                <w:lang w:val="it-CH"/>
              </w:rPr>
              <w:t xml:space="preserve"> 23a</w:t>
            </w:r>
          </w:p>
          <w:p w14:paraId="5902AE64" w14:textId="35FA2340" w:rsidR="00AD61E7" w:rsidRPr="00556412" w:rsidRDefault="00410B8E" w:rsidP="00556412">
            <w:pPr>
              <w:spacing w:line="240" w:lineRule="atLeast"/>
              <w:jc w:val="center"/>
              <w:rPr>
                <w:rFonts w:ascii="Times New Roman" w:eastAsia="Times New Roman" w:hAnsi="Times New Roman" w:cs="Times New Roman"/>
                <w:b/>
                <w:sz w:val="18"/>
                <w:szCs w:val="18"/>
              </w:rPr>
            </w:pPr>
            <w:r w:rsidRPr="00556412">
              <w:rPr>
                <w:rFonts w:ascii="Times New Roman" w:eastAsia="Times New Roman" w:hAnsi="Times New Roman" w:cs="Times New Roman"/>
                <w:b/>
                <w:sz w:val="18"/>
                <w:szCs w:val="18"/>
              </w:rPr>
              <w:t>Konfidencialiteti i informacionit</w:t>
            </w:r>
          </w:p>
        </w:tc>
        <w:tc>
          <w:tcPr>
            <w:tcW w:w="540" w:type="dxa"/>
            <w:shd w:val="clear" w:color="auto" w:fill="D0CECE" w:themeFill="background2" w:themeFillShade="E6"/>
          </w:tcPr>
          <w:p w14:paraId="56E9111D" w14:textId="77777777" w:rsidR="00AD61E7" w:rsidRPr="00556412" w:rsidRDefault="00AD61E7" w:rsidP="00556412">
            <w:pPr>
              <w:spacing w:line="240" w:lineRule="atLeast"/>
              <w:rPr>
                <w:rFonts w:ascii="Times New Roman" w:eastAsia="Calibri" w:hAnsi="Times New Roman" w:cs="Times New Roman"/>
                <w:sz w:val="18"/>
                <w:szCs w:val="18"/>
              </w:rPr>
            </w:pPr>
          </w:p>
        </w:tc>
        <w:tc>
          <w:tcPr>
            <w:tcW w:w="630" w:type="dxa"/>
            <w:shd w:val="clear" w:color="auto" w:fill="D0CECE" w:themeFill="background2" w:themeFillShade="E6"/>
          </w:tcPr>
          <w:p w14:paraId="464256C2" w14:textId="77777777" w:rsidR="00AD61E7" w:rsidRPr="00556412" w:rsidRDefault="00AD61E7" w:rsidP="00556412">
            <w:pPr>
              <w:spacing w:line="240" w:lineRule="atLeast"/>
              <w:rPr>
                <w:rFonts w:ascii="Times New Roman" w:eastAsia="Calibri" w:hAnsi="Times New Roman" w:cs="Times New Roman"/>
                <w:sz w:val="18"/>
                <w:szCs w:val="18"/>
                <w:lang w:val="it-CH"/>
              </w:rPr>
            </w:pPr>
          </w:p>
        </w:tc>
        <w:tc>
          <w:tcPr>
            <w:tcW w:w="4964" w:type="dxa"/>
            <w:shd w:val="clear" w:color="auto" w:fill="D0CECE" w:themeFill="background2" w:themeFillShade="E6"/>
          </w:tcPr>
          <w:p w14:paraId="3CDFC5E2" w14:textId="77777777" w:rsidR="00AD61E7" w:rsidRPr="000A65F2" w:rsidRDefault="00712550" w:rsidP="00556412">
            <w:pPr>
              <w:widowControl w:val="0"/>
              <w:tabs>
                <w:tab w:val="left" w:pos="742"/>
                <w:tab w:val="left" w:pos="744"/>
              </w:tabs>
              <w:autoSpaceDE w:val="0"/>
              <w:autoSpaceDN w:val="0"/>
              <w:spacing w:line="240" w:lineRule="atLeast"/>
              <w:ind w:right="15"/>
              <w:jc w:val="center"/>
              <w:rPr>
                <w:rFonts w:ascii="Times New Roman" w:eastAsia="Calibri" w:hAnsi="Times New Roman" w:cs="Times New Roman"/>
                <w:b/>
                <w:bCs/>
                <w:sz w:val="18"/>
                <w:szCs w:val="18"/>
                <w:lang w:val="it-CH"/>
              </w:rPr>
            </w:pPr>
            <w:r w:rsidRPr="000A65F2">
              <w:rPr>
                <w:rFonts w:ascii="Times New Roman" w:eastAsia="Calibri" w:hAnsi="Times New Roman" w:cs="Times New Roman"/>
                <w:b/>
                <w:bCs/>
                <w:sz w:val="18"/>
                <w:szCs w:val="18"/>
                <w:lang w:val="it-CH"/>
              </w:rPr>
              <w:t>Neni 10</w:t>
            </w:r>
          </w:p>
          <w:p w14:paraId="45408F65" w14:textId="77777777" w:rsidR="00712550" w:rsidRPr="000A65F2" w:rsidRDefault="00712550" w:rsidP="00556412">
            <w:pPr>
              <w:spacing w:line="240" w:lineRule="atLeast"/>
              <w:jc w:val="center"/>
              <w:rPr>
                <w:rFonts w:ascii="Times New Roman" w:hAnsi="Times New Roman" w:cs="Times New Roman"/>
                <w:b/>
                <w:bCs/>
                <w:sz w:val="18"/>
                <w:szCs w:val="18"/>
                <w:lang w:val="sq-AL"/>
              </w:rPr>
            </w:pPr>
            <w:r w:rsidRPr="000A65F2">
              <w:rPr>
                <w:rFonts w:ascii="Times New Roman" w:hAnsi="Times New Roman" w:cs="Times New Roman"/>
                <w:b/>
                <w:bCs/>
                <w:sz w:val="18"/>
                <w:szCs w:val="18"/>
                <w:lang w:val="sq-AL"/>
              </w:rPr>
              <w:t>Përdorimi i informacionit, sekreti profesional dhe mbrojtja e të dhënave</w:t>
            </w:r>
          </w:p>
          <w:p w14:paraId="7A07266B" w14:textId="0C25FB97" w:rsidR="00712550" w:rsidRPr="00556412" w:rsidRDefault="00712550" w:rsidP="00556412">
            <w:pPr>
              <w:widowControl w:val="0"/>
              <w:tabs>
                <w:tab w:val="left" w:pos="742"/>
                <w:tab w:val="left" w:pos="744"/>
              </w:tabs>
              <w:autoSpaceDE w:val="0"/>
              <w:autoSpaceDN w:val="0"/>
              <w:spacing w:line="240" w:lineRule="atLeast"/>
              <w:ind w:right="15"/>
              <w:jc w:val="both"/>
              <w:rPr>
                <w:rFonts w:ascii="Times New Roman" w:eastAsia="Calibri" w:hAnsi="Times New Roman" w:cs="Times New Roman"/>
                <w:sz w:val="18"/>
                <w:szCs w:val="18"/>
                <w:lang w:val="sq-AL"/>
              </w:rPr>
            </w:pPr>
          </w:p>
        </w:tc>
        <w:tc>
          <w:tcPr>
            <w:tcW w:w="976" w:type="dxa"/>
            <w:shd w:val="clear" w:color="auto" w:fill="D0CECE" w:themeFill="background2" w:themeFillShade="E6"/>
          </w:tcPr>
          <w:p w14:paraId="7F59BDD2" w14:textId="77777777" w:rsidR="00AD61E7" w:rsidRPr="00556412" w:rsidRDefault="00AD61E7" w:rsidP="00556412">
            <w:pPr>
              <w:spacing w:line="240" w:lineRule="atLeast"/>
              <w:jc w:val="center"/>
              <w:rPr>
                <w:rFonts w:ascii="Times New Roman" w:eastAsia="Calibri" w:hAnsi="Times New Roman" w:cs="Times New Roman"/>
                <w:sz w:val="18"/>
                <w:szCs w:val="18"/>
                <w:lang w:val="it-CH"/>
              </w:rPr>
            </w:pPr>
          </w:p>
        </w:tc>
        <w:tc>
          <w:tcPr>
            <w:tcW w:w="3150" w:type="dxa"/>
            <w:shd w:val="clear" w:color="auto" w:fill="D0CECE" w:themeFill="background2" w:themeFillShade="E6"/>
          </w:tcPr>
          <w:p w14:paraId="30D4114F" w14:textId="77777777" w:rsidR="00AD61E7" w:rsidRPr="00556412" w:rsidRDefault="00AD61E7" w:rsidP="00556412">
            <w:pPr>
              <w:spacing w:line="240" w:lineRule="atLeast"/>
              <w:rPr>
                <w:rFonts w:ascii="Times New Roman" w:eastAsia="Calibri" w:hAnsi="Times New Roman" w:cs="Times New Roman"/>
                <w:sz w:val="18"/>
                <w:szCs w:val="18"/>
                <w:lang w:val="it-CH"/>
              </w:rPr>
            </w:pPr>
          </w:p>
        </w:tc>
      </w:tr>
      <w:bookmarkEnd w:id="2"/>
      <w:tr w:rsidR="00712550" w:rsidRPr="001566F3" w14:paraId="5B377569" w14:textId="77777777" w:rsidTr="003C3604">
        <w:trPr>
          <w:trHeight w:val="2204"/>
        </w:trPr>
        <w:tc>
          <w:tcPr>
            <w:tcW w:w="540" w:type="dxa"/>
          </w:tcPr>
          <w:p w14:paraId="316BEC04" w14:textId="77777777" w:rsidR="00712550" w:rsidRPr="00556412" w:rsidRDefault="00712550" w:rsidP="00556412">
            <w:pPr>
              <w:spacing w:line="240" w:lineRule="atLeast"/>
              <w:jc w:val="both"/>
              <w:rPr>
                <w:rFonts w:ascii="Times New Roman" w:eastAsia="Calibri" w:hAnsi="Times New Roman" w:cs="Times New Roman"/>
                <w:sz w:val="18"/>
                <w:szCs w:val="18"/>
              </w:rPr>
            </w:pPr>
          </w:p>
        </w:tc>
        <w:tc>
          <w:tcPr>
            <w:tcW w:w="5400" w:type="dxa"/>
          </w:tcPr>
          <w:p w14:paraId="28A4F862" w14:textId="77777777" w:rsidR="00712550" w:rsidRPr="00556412" w:rsidRDefault="00712550" w:rsidP="00556412">
            <w:pPr>
              <w:spacing w:line="240" w:lineRule="atLeast"/>
              <w:jc w:val="both"/>
              <w:rPr>
                <w:rFonts w:ascii="Times New Roman" w:eastAsia="Calibri" w:hAnsi="Times New Roman" w:cs="Times New Roman"/>
                <w:iCs/>
                <w:sz w:val="18"/>
                <w:szCs w:val="18"/>
                <w:lang w:val="it-CH"/>
              </w:rPr>
            </w:pPr>
          </w:p>
          <w:p w14:paraId="7CB82EF7" w14:textId="40EEA973" w:rsidR="00712550" w:rsidRPr="00556412" w:rsidRDefault="00712550" w:rsidP="00556412">
            <w:pPr>
              <w:spacing w:line="240" w:lineRule="atLeast"/>
              <w:jc w:val="both"/>
              <w:rPr>
                <w:rFonts w:ascii="Times New Roman" w:eastAsia="Times New Roman" w:hAnsi="Times New Roman" w:cs="Times New Roman"/>
                <w:sz w:val="18"/>
                <w:szCs w:val="18"/>
              </w:rPr>
            </w:pPr>
            <w:r w:rsidRPr="00556412">
              <w:rPr>
                <w:rFonts w:ascii="Times New Roman" w:eastAsia="Calibri" w:hAnsi="Times New Roman" w:cs="Times New Roman"/>
                <w:iCs/>
                <w:sz w:val="18"/>
                <w:szCs w:val="18"/>
                <w:lang w:val="it-CH"/>
              </w:rPr>
              <w:t>1.</w:t>
            </w:r>
            <w:r w:rsidRPr="00556412">
              <w:rPr>
                <w:rFonts w:ascii="Times New Roman" w:eastAsia="Times New Roman" w:hAnsi="Times New Roman" w:cs="Times New Roman"/>
                <w:sz w:val="18"/>
                <w:szCs w:val="18"/>
              </w:rPr>
              <w:t xml:space="preserve"> Informacioni i komunikuar Komisionit në përputhje me këtë Direktivë ruhet si konfidencial nga Komisioni, në përputhje me dispozitat që zbatohen për autoritetet e Bashkimit, dhe nuk mund të përdoret për asnjë qëllim tjetër përveç atyre që janë të nevojshme për të përcaktuar nëse dhe në çfarë mase shtetet anëtare respektojnë këtë Direktivë.</w:t>
            </w:r>
          </w:p>
          <w:p w14:paraId="144A1F56" w14:textId="383E15C8" w:rsidR="00712550" w:rsidRPr="00556412" w:rsidRDefault="00712550" w:rsidP="00556412">
            <w:pPr>
              <w:spacing w:line="240" w:lineRule="atLeast"/>
              <w:jc w:val="both"/>
              <w:rPr>
                <w:rFonts w:ascii="Times New Roman" w:eastAsia="Calibri" w:hAnsi="Times New Roman" w:cs="Times New Roman"/>
                <w:iCs/>
                <w:sz w:val="18"/>
                <w:szCs w:val="18"/>
                <w:lang w:val="it-CH"/>
              </w:rPr>
            </w:pPr>
          </w:p>
        </w:tc>
        <w:tc>
          <w:tcPr>
            <w:tcW w:w="540" w:type="dxa"/>
          </w:tcPr>
          <w:p w14:paraId="7AA0DD76" w14:textId="77777777" w:rsidR="00712550" w:rsidRPr="00556412" w:rsidRDefault="00712550" w:rsidP="00556412">
            <w:pPr>
              <w:spacing w:line="240" w:lineRule="atLeast"/>
              <w:jc w:val="center"/>
              <w:rPr>
                <w:rFonts w:ascii="Times New Roman" w:eastAsia="Calibri" w:hAnsi="Times New Roman" w:cs="Times New Roman"/>
                <w:sz w:val="18"/>
                <w:szCs w:val="18"/>
                <w:highlight w:val="cyan"/>
              </w:rPr>
            </w:pPr>
          </w:p>
        </w:tc>
        <w:tc>
          <w:tcPr>
            <w:tcW w:w="630" w:type="dxa"/>
          </w:tcPr>
          <w:p w14:paraId="05E894B9" w14:textId="77777777" w:rsidR="00712550" w:rsidRPr="00556412" w:rsidRDefault="00712550" w:rsidP="00556412">
            <w:pPr>
              <w:spacing w:line="240" w:lineRule="atLeast"/>
              <w:jc w:val="center"/>
              <w:rPr>
                <w:rFonts w:ascii="Times New Roman" w:eastAsia="Calibri" w:hAnsi="Times New Roman" w:cs="Times New Roman"/>
                <w:sz w:val="18"/>
                <w:szCs w:val="18"/>
                <w:highlight w:val="cyan"/>
                <w:lang w:val="it-CH"/>
              </w:rPr>
            </w:pPr>
          </w:p>
          <w:p w14:paraId="3B4BD771" w14:textId="77777777" w:rsidR="00712550" w:rsidRPr="00556412" w:rsidRDefault="00712550" w:rsidP="00556412">
            <w:pPr>
              <w:spacing w:line="240" w:lineRule="atLeast"/>
              <w:jc w:val="center"/>
              <w:rPr>
                <w:rFonts w:ascii="Times New Roman" w:eastAsia="Calibri" w:hAnsi="Times New Roman" w:cs="Times New Roman"/>
                <w:sz w:val="18"/>
                <w:szCs w:val="18"/>
                <w:highlight w:val="cyan"/>
                <w:lang w:val="it-CH"/>
              </w:rPr>
            </w:pPr>
          </w:p>
          <w:p w14:paraId="085CF30E" w14:textId="469E2059" w:rsidR="00712550" w:rsidRPr="00556412" w:rsidRDefault="00712550" w:rsidP="00556412">
            <w:pPr>
              <w:spacing w:line="240" w:lineRule="atLeast"/>
              <w:jc w:val="center"/>
              <w:rPr>
                <w:rFonts w:ascii="Times New Roman" w:eastAsia="Calibri" w:hAnsi="Times New Roman" w:cs="Times New Roman"/>
                <w:sz w:val="18"/>
                <w:szCs w:val="18"/>
                <w:highlight w:val="cyan"/>
                <w:lang w:val="en-US"/>
              </w:rPr>
            </w:pPr>
            <w:r w:rsidRPr="00556412">
              <w:rPr>
                <w:rFonts w:ascii="Times New Roman" w:eastAsia="Calibri" w:hAnsi="Times New Roman" w:cs="Times New Roman"/>
                <w:sz w:val="18"/>
                <w:szCs w:val="18"/>
                <w:lang w:val="en-US"/>
              </w:rPr>
              <w:t>N/A</w:t>
            </w:r>
          </w:p>
        </w:tc>
        <w:tc>
          <w:tcPr>
            <w:tcW w:w="4964" w:type="dxa"/>
            <w:vMerge w:val="restart"/>
          </w:tcPr>
          <w:p w14:paraId="22DCECB4" w14:textId="77777777" w:rsidR="00712550" w:rsidRPr="00556412" w:rsidRDefault="00712550" w:rsidP="00556412">
            <w:pPr>
              <w:spacing w:line="240" w:lineRule="atLeast"/>
              <w:jc w:val="center"/>
              <w:rPr>
                <w:rFonts w:ascii="Times New Roman" w:hAnsi="Times New Roman" w:cs="Times New Roman"/>
                <w:sz w:val="18"/>
                <w:szCs w:val="18"/>
              </w:rPr>
            </w:pPr>
          </w:p>
          <w:p w14:paraId="5ED812D9" w14:textId="77777777" w:rsidR="00712550" w:rsidRPr="00556412" w:rsidRDefault="00712550" w:rsidP="00556412">
            <w:pPr>
              <w:spacing w:line="240" w:lineRule="atLeast"/>
              <w:jc w:val="both"/>
              <w:rPr>
                <w:rFonts w:ascii="Times New Roman" w:hAnsi="Times New Roman" w:cs="Times New Roman"/>
                <w:sz w:val="18"/>
                <w:szCs w:val="18"/>
              </w:rPr>
            </w:pPr>
          </w:p>
          <w:p w14:paraId="14EEC7DD" w14:textId="77777777" w:rsidR="00712550" w:rsidRPr="00556412" w:rsidRDefault="00712550" w:rsidP="00556412">
            <w:pPr>
              <w:spacing w:line="240" w:lineRule="atLeast"/>
              <w:jc w:val="both"/>
              <w:rPr>
                <w:rFonts w:ascii="Times New Roman" w:eastAsia="Times New Roman" w:hAnsi="Times New Roman" w:cs="Times New Roman"/>
                <w:sz w:val="18"/>
                <w:szCs w:val="18"/>
                <w:lang w:val="sq-AL"/>
              </w:rPr>
            </w:pPr>
            <w:r w:rsidRPr="00556412">
              <w:rPr>
                <w:rFonts w:ascii="Times New Roman" w:eastAsia="Times New Roman" w:hAnsi="Times New Roman" w:cs="Times New Roman"/>
                <w:sz w:val="18"/>
                <w:szCs w:val="18"/>
                <w:lang w:val="sq-AL"/>
              </w:rPr>
              <w:t xml:space="preserve">1.Mbrojtja e të dhënave në kuadër të këtij ligji i referohet dispozitave të ligjit “Për bashkëpunimin Administrativ në Fushën e Tatimeve dhe Shkëmbimin e Informacionit Tatimor.” </w:t>
            </w:r>
          </w:p>
          <w:p w14:paraId="277629A6" w14:textId="77777777" w:rsidR="00712550" w:rsidRPr="00556412" w:rsidRDefault="00712550" w:rsidP="00556412">
            <w:pPr>
              <w:spacing w:line="240" w:lineRule="atLeast"/>
              <w:jc w:val="both"/>
              <w:rPr>
                <w:rFonts w:ascii="Times New Roman" w:hAnsi="Times New Roman" w:cs="Times New Roman"/>
                <w:sz w:val="18"/>
                <w:szCs w:val="18"/>
                <w:lang w:val="sq-AL"/>
              </w:rPr>
            </w:pPr>
          </w:p>
          <w:p w14:paraId="7B28A044" w14:textId="77777777" w:rsidR="00712550" w:rsidRPr="00556412" w:rsidRDefault="00712550" w:rsidP="00556412">
            <w:pPr>
              <w:spacing w:line="240" w:lineRule="atLeast"/>
              <w:jc w:val="both"/>
              <w:rPr>
                <w:rFonts w:ascii="Times New Roman" w:hAnsi="Times New Roman" w:cs="Times New Roman"/>
                <w:sz w:val="18"/>
                <w:szCs w:val="18"/>
                <w:lang w:val="sq-AL"/>
              </w:rPr>
            </w:pPr>
            <w:r w:rsidRPr="00556412">
              <w:rPr>
                <w:rFonts w:ascii="Times New Roman" w:hAnsi="Times New Roman" w:cs="Times New Roman"/>
                <w:sz w:val="18"/>
                <w:szCs w:val="18"/>
                <w:lang w:val="sq-AL"/>
              </w:rPr>
              <w:t>2. Informacioni i marrë dhe i shkëmbyer në zbatim  të këtij ligji përdoret vetëm për qëllime të administrimit dhe zbatimit të legjislacionit tatimor, si dhe për vlerësimin dhe analizën e rrezikut tatimor, në përputhje me qëllimin për të cilin është marrë ose siguruar.</w:t>
            </w:r>
          </w:p>
          <w:p w14:paraId="60993E2C" w14:textId="1F7C075F" w:rsidR="00712550" w:rsidRPr="00556412" w:rsidRDefault="00712550" w:rsidP="00556412">
            <w:pPr>
              <w:spacing w:line="240" w:lineRule="atLeast"/>
              <w:jc w:val="both"/>
              <w:rPr>
                <w:rFonts w:ascii="Times New Roman" w:hAnsi="Times New Roman" w:cs="Times New Roman"/>
                <w:sz w:val="18"/>
                <w:szCs w:val="18"/>
                <w:lang w:val="sq-AL"/>
              </w:rPr>
            </w:pPr>
            <w:r w:rsidRPr="00556412">
              <w:rPr>
                <w:rFonts w:ascii="Times New Roman" w:hAnsi="Times New Roman" w:cs="Times New Roman"/>
                <w:sz w:val="18"/>
                <w:szCs w:val="18"/>
                <w:lang w:val="sq-AL"/>
              </w:rPr>
              <w:t>3. Informacioni i shkëmbyer trajtohet si sekret profesional dhe tatimor dhe nuk i bëhet i disponueshëm personave të paautorizuar, përveç rasteve të parashikuara shprehimisht në legjislacionin në fuqi për mbrojtjen e të dhënave</w:t>
            </w:r>
            <w:r w:rsidR="001566F3">
              <w:rPr>
                <w:rFonts w:ascii="Times New Roman" w:hAnsi="Times New Roman" w:cs="Times New Roman"/>
                <w:sz w:val="18"/>
                <w:szCs w:val="18"/>
                <w:lang w:val="sq-AL"/>
              </w:rPr>
              <w:t>.</w:t>
            </w:r>
            <w:r w:rsidRPr="00556412">
              <w:rPr>
                <w:rFonts w:ascii="Times New Roman" w:hAnsi="Times New Roman" w:cs="Times New Roman"/>
                <w:sz w:val="18"/>
                <w:szCs w:val="18"/>
                <w:lang w:val="sq-AL"/>
              </w:rPr>
              <w:t xml:space="preserve"> </w:t>
            </w:r>
          </w:p>
          <w:p w14:paraId="71F3065B" w14:textId="5DEB1B1D" w:rsidR="00712550" w:rsidRPr="00556412" w:rsidRDefault="00712550" w:rsidP="00556412">
            <w:pPr>
              <w:spacing w:line="240" w:lineRule="atLeast"/>
              <w:jc w:val="both"/>
              <w:rPr>
                <w:rFonts w:ascii="Times New Roman" w:hAnsi="Times New Roman" w:cs="Times New Roman"/>
                <w:sz w:val="18"/>
                <w:szCs w:val="18"/>
                <w:lang w:val="sq-AL"/>
              </w:rPr>
            </w:pPr>
            <w:r w:rsidRPr="00556412">
              <w:rPr>
                <w:rFonts w:ascii="Times New Roman" w:hAnsi="Times New Roman" w:cs="Times New Roman"/>
                <w:sz w:val="18"/>
                <w:szCs w:val="18"/>
                <w:lang w:val="sq-AL"/>
              </w:rPr>
              <w:t xml:space="preserve">4. Drejtoria e Përgjithshme e Tatimeve dhe autoritetet kompetente sigurojnë konfidencialitetin, integritetin dhe sigurinë e informacionit të shkëmbyer, si dhe mbrojtjen e të dhënave personale, në përputhje me legjislacionin shqiptar për mbrojtjen e të dhënave personale dhe ligjin për bashkëpunimin administrativ në fushën tatimore. </w:t>
            </w:r>
          </w:p>
          <w:p w14:paraId="1347D23D" w14:textId="77777777" w:rsidR="00712550" w:rsidRPr="00556412" w:rsidRDefault="00712550" w:rsidP="00556412">
            <w:pPr>
              <w:spacing w:line="240" w:lineRule="atLeast"/>
              <w:jc w:val="both"/>
              <w:rPr>
                <w:rFonts w:ascii="Times New Roman" w:hAnsi="Times New Roman" w:cs="Times New Roman"/>
                <w:sz w:val="18"/>
                <w:szCs w:val="18"/>
                <w:lang w:val="sq-AL"/>
              </w:rPr>
            </w:pPr>
            <w:r w:rsidRPr="00556412">
              <w:rPr>
                <w:rFonts w:ascii="Times New Roman" w:hAnsi="Times New Roman" w:cs="Times New Roman"/>
                <w:sz w:val="18"/>
                <w:szCs w:val="18"/>
                <w:lang w:val="sq-AL"/>
              </w:rPr>
              <w:t xml:space="preserve">5. Përpunimi, ruajtja dhe përdorimi i informacionit kryhen në përputhje me parimet e kufizimit të qëllimit, proporcionalitetit, </w:t>
            </w:r>
            <w:r w:rsidRPr="00556412">
              <w:rPr>
                <w:rFonts w:ascii="Times New Roman" w:hAnsi="Times New Roman" w:cs="Times New Roman"/>
                <w:sz w:val="18"/>
                <w:szCs w:val="18"/>
                <w:lang w:val="sq-AL"/>
              </w:rPr>
              <w:lastRenderedPageBreak/>
              <w:t>domosdoshmërisë dhe sigurisë së të dhënave, sipas legjislacionit në fuqi.</w:t>
            </w:r>
          </w:p>
          <w:p w14:paraId="70E504E0" w14:textId="611E320B" w:rsidR="00712550" w:rsidRPr="00556412" w:rsidRDefault="00712550" w:rsidP="00556412">
            <w:pPr>
              <w:spacing w:line="240" w:lineRule="atLeast"/>
              <w:jc w:val="center"/>
              <w:rPr>
                <w:rFonts w:ascii="Times New Roman" w:hAnsi="Times New Roman" w:cs="Times New Roman"/>
                <w:sz w:val="18"/>
                <w:szCs w:val="18"/>
              </w:rPr>
            </w:pPr>
          </w:p>
        </w:tc>
        <w:tc>
          <w:tcPr>
            <w:tcW w:w="976" w:type="dxa"/>
          </w:tcPr>
          <w:p w14:paraId="3C16DEDB" w14:textId="77777777" w:rsidR="00712550" w:rsidRPr="00556412" w:rsidRDefault="00712550" w:rsidP="00556412">
            <w:pPr>
              <w:spacing w:line="240" w:lineRule="atLeast"/>
              <w:jc w:val="center"/>
              <w:rPr>
                <w:rFonts w:ascii="Times New Roman" w:eastAsia="Calibri" w:hAnsi="Times New Roman" w:cs="Times New Roman"/>
                <w:sz w:val="18"/>
                <w:szCs w:val="18"/>
              </w:rPr>
            </w:pPr>
          </w:p>
          <w:p w14:paraId="1CF8E656" w14:textId="221AEDE5" w:rsidR="00712550" w:rsidRPr="00556412" w:rsidRDefault="00712550" w:rsidP="00556412">
            <w:pPr>
              <w:spacing w:line="240" w:lineRule="atLeast"/>
              <w:jc w:val="center"/>
              <w:rPr>
                <w:rFonts w:ascii="Times New Roman" w:eastAsia="Calibri" w:hAnsi="Times New Roman" w:cs="Times New Roman"/>
                <w:sz w:val="18"/>
                <w:szCs w:val="18"/>
              </w:rPr>
            </w:pPr>
            <w:r w:rsidRPr="00556412">
              <w:rPr>
                <w:rFonts w:ascii="Times New Roman" w:eastAsia="Calibri" w:hAnsi="Times New Roman" w:cs="Times New Roman"/>
                <w:sz w:val="18"/>
                <w:szCs w:val="18"/>
              </w:rPr>
              <w:t>N/A</w:t>
            </w:r>
          </w:p>
        </w:tc>
        <w:tc>
          <w:tcPr>
            <w:tcW w:w="3150" w:type="dxa"/>
          </w:tcPr>
          <w:p w14:paraId="5B465FA1" w14:textId="77777777" w:rsidR="00712550" w:rsidRPr="00556412" w:rsidRDefault="00712550" w:rsidP="00556412">
            <w:pPr>
              <w:spacing w:line="240" w:lineRule="atLeast"/>
              <w:rPr>
                <w:rFonts w:ascii="Times New Roman" w:eastAsia="Calibri" w:hAnsi="Times New Roman" w:cs="Times New Roman"/>
                <w:sz w:val="18"/>
                <w:szCs w:val="18"/>
              </w:rPr>
            </w:pPr>
          </w:p>
          <w:p w14:paraId="631E79B1" w14:textId="77777777" w:rsidR="00712550" w:rsidRPr="00556412" w:rsidRDefault="00712550" w:rsidP="00556412">
            <w:pPr>
              <w:spacing w:line="240" w:lineRule="atLeast"/>
              <w:jc w:val="both"/>
              <w:rPr>
                <w:rFonts w:ascii="Times New Roman" w:eastAsia="Calibri" w:hAnsi="Times New Roman" w:cs="Times New Roman"/>
                <w:sz w:val="18"/>
                <w:szCs w:val="18"/>
              </w:rPr>
            </w:pPr>
            <w:r w:rsidRPr="00556412">
              <w:rPr>
                <w:rFonts w:ascii="Times New Roman" w:eastAsia="Calibri" w:hAnsi="Times New Roman" w:cs="Times New Roman"/>
                <w:sz w:val="18"/>
                <w:szCs w:val="18"/>
              </w:rPr>
              <w:t>Është parashikim detyrues për Komisionin Europian në lidhje me ruajtejn dhe kofidencialitetin e të dhënave dhe jo për shtetet antare.</w:t>
            </w:r>
          </w:p>
          <w:p w14:paraId="13A92685" w14:textId="33BFE358" w:rsidR="00712550" w:rsidRPr="00556412" w:rsidRDefault="00712550" w:rsidP="00556412">
            <w:pPr>
              <w:spacing w:line="240" w:lineRule="atLeast"/>
              <w:jc w:val="both"/>
              <w:rPr>
                <w:rFonts w:ascii="Times New Roman" w:eastAsia="Calibri" w:hAnsi="Times New Roman" w:cs="Times New Roman"/>
                <w:sz w:val="18"/>
                <w:szCs w:val="18"/>
              </w:rPr>
            </w:pPr>
            <w:r w:rsidRPr="00556412">
              <w:rPr>
                <w:rFonts w:ascii="Times New Roman" w:hAnsi="Times New Roman" w:cs="Times New Roman"/>
                <w:sz w:val="18"/>
                <w:szCs w:val="18"/>
              </w:rPr>
              <w:t>Megjithat</w:t>
            </w:r>
            <w:r w:rsidR="00CD309C">
              <w:rPr>
                <w:rFonts w:ascii="Times New Roman" w:hAnsi="Times New Roman" w:cs="Times New Roman"/>
                <w:sz w:val="18"/>
                <w:szCs w:val="18"/>
              </w:rPr>
              <w:t>ë</w:t>
            </w:r>
            <w:r w:rsidRPr="00556412">
              <w:rPr>
                <w:rFonts w:ascii="Times New Roman" w:hAnsi="Times New Roman" w:cs="Times New Roman"/>
                <w:sz w:val="18"/>
                <w:szCs w:val="18"/>
              </w:rPr>
              <w:t>, kemi përfshirë një nen që përmban një dispozitë mbi konfidencialitetin.</w:t>
            </w:r>
          </w:p>
        </w:tc>
      </w:tr>
      <w:tr w:rsidR="00712550" w:rsidRPr="001566F3" w14:paraId="6EC6B39D" w14:textId="77777777" w:rsidTr="003C3604">
        <w:trPr>
          <w:trHeight w:val="2204"/>
        </w:trPr>
        <w:tc>
          <w:tcPr>
            <w:tcW w:w="540" w:type="dxa"/>
          </w:tcPr>
          <w:p w14:paraId="29EC6592" w14:textId="77777777" w:rsidR="00712550" w:rsidRPr="00556412" w:rsidRDefault="00712550" w:rsidP="00556412">
            <w:pPr>
              <w:spacing w:line="240" w:lineRule="atLeast"/>
              <w:jc w:val="both"/>
              <w:rPr>
                <w:rFonts w:ascii="Times New Roman" w:eastAsia="Calibri" w:hAnsi="Times New Roman" w:cs="Times New Roman"/>
                <w:sz w:val="18"/>
                <w:szCs w:val="18"/>
              </w:rPr>
            </w:pPr>
          </w:p>
        </w:tc>
        <w:tc>
          <w:tcPr>
            <w:tcW w:w="5400" w:type="dxa"/>
          </w:tcPr>
          <w:p w14:paraId="6E73D4E2" w14:textId="6E3D96E9" w:rsidR="00712550" w:rsidRPr="00556412" w:rsidRDefault="00712550" w:rsidP="00556412">
            <w:pPr>
              <w:spacing w:line="240" w:lineRule="atLeast"/>
              <w:jc w:val="both"/>
              <w:rPr>
                <w:rFonts w:ascii="Times New Roman" w:eastAsia="Calibri" w:hAnsi="Times New Roman" w:cs="Times New Roman"/>
                <w:iCs/>
                <w:sz w:val="18"/>
                <w:szCs w:val="18"/>
              </w:rPr>
            </w:pPr>
          </w:p>
          <w:p w14:paraId="1CD9C204" w14:textId="6EA3CF6B" w:rsidR="00712550" w:rsidRPr="00556412" w:rsidRDefault="00712550" w:rsidP="00556412">
            <w:pPr>
              <w:pStyle w:val="NormalWeb"/>
              <w:spacing w:line="240" w:lineRule="atLeast"/>
              <w:jc w:val="both"/>
              <w:rPr>
                <w:rFonts w:eastAsia="Times New Roman"/>
                <w:sz w:val="18"/>
                <w:szCs w:val="18"/>
              </w:rPr>
            </w:pPr>
            <w:r w:rsidRPr="00556412">
              <w:rPr>
                <w:rFonts w:eastAsia="Calibri"/>
                <w:iCs/>
                <w:sz w:val="18"/>
                <w:szCs w:val="18"/>
              </w:rPr>
              <w:t xml:space="preserve">2.   </w:t>
            </w:r>
            <w:r w:rsidRPr="00556412">
              <w:rPr>
                <w:rFonts w:eastAsia="Times New Roman"/>
                <w:bCs/>
                <w:sz w:val="18"/>
                <w:szCs w:val="18"/>
              </w:rPr>
              <w:t>Informacioni i komunikuar Komisionit nga një shtet anëtar sipas nenit 23, si dhe çdo raport ose dokument i hartuar nga Komisioni duke përdorur një informacion të tillë, mund t’u transmetohet shteteve të tjera anëtare. Ky informacion i transmetuar i nënshtrohet detyrimit të ruajtjes së sekretit zyrtar dhe gëzon mbrojtjen që u jepet informacioneve të ngjashme sipas legjislacionit kombëtar të shtetit anëtar që e ka marrë atë.</w:t>
            </w:r>
          </w:p>
          <w:p w14:paraId="11B707AE" w14:textId="58696598" w:rsidR="00712550" w:rsidRPr="00556412" w:rsidRDefault="00712550" w:rsidP="00556412">
            <w:pPr>
              <w:spacing w:before="100" w:beforeAutospacing="1" w:after="100" w:afterAutospacing="1" w:line="240" w:lineRule="atLeast"/>
              <w:jc w:val="both"/>
              <w:rPr>
                <w:rFonts w:ascii="Times New Roman" w:eastAsia="Times New Roman" w:hAnsi="Times New Roman" w:cs="Times New Roman"/>
                <w:sz w:val="18"/>
                <w:szCs w:val="18"/>
              </w:rPr>
            </w:pPr>
            <w:r w:rsidRPr="00556412">
              <w:rPr>
                <w:rFonts w:ascii="Times New Roman" w:eastAsia="Times New Roman" w:hAnsi="Times New Roman" w:cs="Times New Roman"/>
                <w:bCs/>
                <w:sz w:val="18"/>
                <w:szCs w:val="18"/>
              </w:rPr>
              <w:t>Raportet dhe dokumentet e hartuara nga Komisioni, të përmendura në nënparagrafin e parë, mund të përdoren nga shtetet anëtare vetëm për qëllime analitike dhe nuk publikohen apo vihen në dispozicion të ndonjë personi ose organi tjetër pa pëlqimin e shprehur të Komisionit.</w:t>
            </w:r>
          </w:p>
          <w:p w14:paraId="35AE4FAA" w14:textId="77777777" w:rsidR="00712550" w:rsidRPr="00556412" w:rsidRDefault="00712550" w:rsidP="00556412">
            <w:pPr>
              <w:spacing w:before="100" w:beforeAutospacing="1" w:after="100" w:afterAutospacing="1" w:line="240" w:lineRule="atLeast"/>
              <w:jc w:val="both"/>
              <w:rPr>
                <w:rFonts w:ascii="Times New Roman" w:eastAsia="Times New Roman" w:hAnsi="Times New Roman" w:cs="Times New Roman"/>
                <w:sz w:val="18"/>
                <w:szCs w:val="18"/>
              </w:rPr>
            </w:pPr>
            <w:r w:rsidRPr="00556412">
              <w:rPr>
                <w:rFonts w:ascii="Times New Roman" w:eastAsia="Times New Roman" w:hAnsi="Times New Roman" w:cs="Times New Roman"/>
                <w:bCs/>
                <w:sz w:val="18"/>
                <w:szCs w:val="18"/>
              </w:rPr>
              <w:lastRenderedPageBreak/>
              <w:t>Pavarësisht nga nënparagrafi i parë dhe i dytë, Komisioni mund të publikojë çdo vit përmbledhje të anonimizuara të të dhënave statistikore që shtetet anëtare i komunikojnë atij në përputhje me nenin 23(4).</w:t>
            </w:r>
          </w:p>
          <w:p w14:paraId="7C2D71E5" w14:textId="4AC1EA46" w:rsidR="00712550" w:rsidRPr="00556412" w:rsidRDefault="00712550" w:rsidP="00556412">
            <w:pPr>
              <w:spacing w:line="240" w:lineRule="atLeast"/>
              <w:jc w:val="both"/>
              <w:rPr>
                <w:rFonts w:ascii="Times New Roman" w:eastAsia="Calibri" w:hAnsi="Times New Roman" w:cs="Times New Roman"/>
                <w:iCs/>
                <w:sz w:val="18"/>
                <w:szCs w:val="18"/>
              </w:rPr>
            </w:pPr>
          </w:p>
          <w:p w14:paraId="76775CAB" w14:textId="77777777" w:rsidR="00712550" w:rsidRPr="00556412" w:rsidRDefault="00712550" w:rsidP="00556412">
            <w:pPr>
              <w:spacing w:line="240" w:lineRule="atLeast"/>
              <w:jc w:val="both"/>
              <w:rPr>
                <w:rFonts w:ascii="Times New Roman" w:eastAsia="Calibri" w:hAnsi="Times New Roman" w:cs="Times New Roman"/>
                <w:iCs/>
                <w:sz w:val="18"/>
                <w:szCs w:val="18"/>
              </w:rPr>
            </w:pPr>
          </w:p>
          <w:p w14:paraId="6D0159F8" w14:textId="74C35553" w:rsidR="00712550" w:rsidRPr="00556412" w:rsidRDefault="00712550" w:rsidP="00556412">
            <w:pPr>
              <w:spacing w:line="240" w:lineRule="atLeast"/>
              <w:jc w:val="both"/>
              <w:rPr>
                <w:rFonts w:ascii="Times New Roman" w:eastAsia="Calibri" w:hAnsi="Times New Roman" w:cs="Times New Roman"/>
                <w:iCs/>
                <w:sz w:val="18"/>
                <w:szCs w:val="18"/>
              </w:rPr>
            </w:pPr>
            <w:r w:rsidRPr="00556412">
              <w:rPr>
                <w:rFonts w:ascii="Times New Roman" w:eastAsia="Calibri" w:hAnsi="Times New Roman" w:cs="Times New Roman"/>
                <w:iCs/>
                <w:sz w:val="18"/>
                <w:szCs w:val="18"/>
              </w:rPr>
              <w:t xml:space="preserve">                                                               </w:t>
            </w:r>
          </w:p>
        </w:tc>
        <w:tc>
          <w:tcPr>
            <w:tcW w:w="540" w:type="dxa"/>
          </w:tcPr>
          <w:p w14:paraId="67E56751" w14:textId="77777777" w:rsidR="00712550" w:rsidRPr="00556412" w:rsidRDefault="00712550" w:rsidP="00556412">
            <w:pPr>
              <w:spacing w:line="240" w:lineRule="atLeast"/>
              <w:jc w:val="center"/>
              <w:rPr>
                <w:rFonts w:ascii="Times New Roman" w:eastAsia="Calibri" w:hAnsi="Times New Roman" w:cs="Times New Roman"/>
                <w:sz w:val="18"/>
                <w:szCs w:val="18"/>
                <w:highlight w:val="cyan"/>
              </w:rPr>
            </w:pPr>
          </w:p>
        </w:tc>
        <w:tc>
          <w:tcPr>
            <w:tcW w:w="630" w:type="dxa"/>
          </w:tcPr>
          <w:p w14:paraId="66B981BD" w14:textId="2BE9F216" w:rsidR="00712550" w:rsidRPr="00556412" w:rsidRDefault="00712550" w:rsidP="00556412">
            <w:pPr>
              <w:spacing w:line="240" w:lineRule="atLeast"/>
              <w:jc w:val="center"/>
              <w:rPr>
                <w:rFonts w:ascii="Times New Roman" w:eastAsia="Calibri" w:hAnsi="Times New Roman" w:cs="Times New Roman"/>
                <w:sz w:val="18"/>
                <w:szCs w:val="18"/>
                <w:highlight w:val="cyan"/>
              </w:rPr>
            </w:pPr>
            <w:r w:rsidRPr="00556412">
              <w:rPr>
                <w:rFonts w:ascii="Times New Roman" w:eastAsia="Calibri" w:hAnsi="Times New Roman" w:cs="Times New Roman"/>
                <w:sz w:val="18"/>
                <w:szCs w:val="18"/>
              </w:rPr>
              <w:t>N/A</w:t>
            </w:r>
          </w:p>
        </w:tc>
        <w:tc>
          <w:tcPr>
            <w:tcW w:w="4964" w:type="dxa"/>
            <w:vMerge/>
          </w:tcPr>
          <w:p w14:paraId="75B31E67" w14:textId="6355BBA4" w:rsidR="00712550" w:rsidRPr="00556412" w:rsidRDefault="00712550" w:rsidP="00556412">
            <w:pPr>
              <w:spacing w:line="240" w:lineRule="atLeast"/>
              <w:jc w:val="center"/>
              <w:rPr>
                <w:rFonts w:ascii="Times New Roman" w:hAnsi="Times New Roman" w:cs="Times New Roman"/>
                <w:sz w:val="18"/>
                <w:szCs w:val="18"/>
              </w:rPr>
            </w:pPr>
          </w:p>
        </w:tc>
        <w:tc>
          <w:tcPr>
            <w:tcW w:w="976" w:type="dxa"/>
          </w:tcPr>
          <w:p w14:paraId="73A24116" w14:textId="6CE86F0E" w:rsidR="00712550" w:rsidRPr="00556412" w:rsidRDefault="00712550" w:rsidP="00556412">
            <w:pPr>
              <w:spacing w:line="240" w:lineRule="atLeast"/>
              <w:jc w:val="center"/>
              <w:rPr>
                <w:rFonts w:ascii="Times New Roman" w:eastAsia="Calibri" w:hAnsi="Times New Roman" w:cs="Times New Roman"/>
                <w:sz w:val="18"/>
                <w:szCs w:val="18"/>
              </w:rPr>
            </w:pPr>
            <w:r w:rsidRPr="00556412">
              <w:rPr>
                <w:rFonts w:ascii="Times New Roman" w:eastAsia="Calibri" w:hAnsi="Times New Roman" w:cs="Times New Roman"/>
                <w:sz w:val="18"/>
                <w:szCs w:val="18"/>
              </w:rPr>
              <w:t>N/A</w:t>
            </w:r>
          </w:p>
        </w:tc>
        <w:tc>
          <w:tcPr>
            <w:tcW w:w="3150" w:type="dxa"/>
          </w:tcPr>
          <w:p w14:paraId="1B6D13CF" w14:textId="77777777" w:rsidR="00712550" w:rsidRPr="00556412" w:rsidRDefault="00712550" w:rsidP="00556412">
            <w:pPr>
              <w:spacing w:line="240" w:lineRule="atLeast"/>
              <w:jc w:val="both"/>
              <w:rPr>
                <w:rFonts w:ascii="Times New Roman" w:eastAsia="Calibri" w:hAnsi="Times New Roman" w:cs="Times New Roman"/>
                <w:sz w:val="18"/>
                <w:szCs w:val="18"/>
              </w:rPr>
            </w:pPr>
            <w:r w:rsidRPr="00556412">
              <w:rPr>
                <w:rFonts w:ascii="Times New Roman" w:eastAsia="Calibri" w:hAnsi="Times New Roman" w:cs="Times New Roman"/>
                <w:sz w:val="18"/>
                <w:szCs w:val="18"/>
              </w:rPr>
              <w:t>Është parashikim detyrues për Komisionin Europina në lidhje me ruajtejn dhe kofidencialitetin e të dhënave dhe jo per shtetet anëtare.</w:t>
            </w:r>
          </w:p>
          <w:p w14:paraId="32A7E9F2" w14:textId="7AB01170" w:rsidR="00712550" w:rsidRPr="00556412" w:rsidRDefault="00712550" w:rsidP="00556412">
            <w:pPr>
              <w:spacing w:line="240" w:lineRule="atLeast"/>
              <w:jc w:val="both"/>
              <w:rPr>
                <w:rFonts w:ascii="Times New Roman" w:eastAsia="Calibri" w:hAnsi="Times New Roman" w:cs="Times New Roman"/>
                <w:sz w:val="18"/>
                <w:szCs w:val="18"/>
              </w:rPr>
            </w:pPr>
            <w:r w:rsidRPr="00556412">
              <w:rPr>
                <w:rFonts w:ascii="Times New Roman" w:hAnsi="Times New Roman" w:cs="Times New Roman"/>
                <w:sz w:val="18"/>
                <w:szCs w:val="18"/>
              </w:rPr>
              <w:t>Megjithat</w:t>
            </w:r>
            <w:r w:rsidR="00CD309C">
              <w:rPr>
                <w:rFonts w:ascii="Times New Roman" w:hAnsi="Times New Roman" w:cs="Times New Roman"/>
                <w:sz w:val="18"/>
                <w:szCs w:val="18"/>
              </w:rPr>
              <w:t>ë</w:t>
            </w:r>
            <w:r w:rsidRPr="00556412">
              <w:rPr>
                <w:rFonts w:ascii="Times New Roman" w:hAnsi="Times New Roman" w:cs="Times New Roman"/>
                <w:sz w:val="18"/>
                <w:szCs w:val="18"/>
              </w:rPr>
              <w:t>, kemi përfshirë një nen që përmban një dispozitë mbi konfidencialitetin.</w:t>
            </w:r>
          </w:p>
        </w:tc>
      </w:tr>
      <w:tr w:rsidR="00084CAC" w:rsidRPr="001566F3" w14:paraId="546F7D93" w14:textId="77777777" w:rsidTr="003C3604">
        <w:trPr>
          <w:trHeight w:val="2204"/>
        </w:trPr>
        <w:tc>
          <w:tcPr>
            <w:tcW w:w="540" w:type="dxa"/>
          </w:tcPr>
          <w:p w14:paraId="7D33E0F6" w14:textId="77777777" w:rsidR="00084CAC" w:rsidRPr="00556412" w:rsidRDefault="00084CAC" w:rsidP="00556412">
            <w:pPr>
              <w:spacing w:line="240" w:lineRule="atLeast"/>
              <w:jc w:val="both"/>
              <w:rPr>
                <w:rFonts w:ascii="Times New Roman" w:eastAsia="Calibri" w:hAnsi="Times New Roman" w:cs="Times New Roman"/>
                <w:sz w:val="18"/>
                <w:szCs w:val="18"/>
              </w:rPr>
            </w:pPr>
          </w:p>
        </w:tc>
        <w:tc>
          <w:tcPr>
            <w:tcW w:w="5400" w:type="dxa"/>
          </w:tcPr>
          <w:p w14:paraId="7AD4DE91" w14:textId="77777777" w:rsidR="00F161FD" w:rsidRPr="00556412" w:rsidRDefault="00F161FD" w:rsidP="00556412">
            <w:pPr>
              <w:spacing w:line="240" w:lineRule="atLeast"/>
              <w:jc w:val="center"/>
              <w:rPr>
                <w:rFonts w:ascii="Times New Roman" w:eastAsia="Times New Roman" w:hAnsi="Times New Roman" w:cs="Times New Roman"/>
                <w:bCs/>
                <w:sz w:val="18"/>
                <w:szCs w:val="18"/>
              </w:rPr>
            </w:pPr>
          </w:p>
          <w:p w14:paraId="329CD363" w14:textId="77777777" w:rsidR="00F161FD" w:rsidRPr="001566F3" w:rsidRDefault="00F161FD" w:rsidP="00556412">
            <w:pPr>
              <w:spacing w:line="240" w:lineRule="atLeast"/>
              <w:jc w:val="center"/>
              <w:rPr>
                <w:rFonts w:ascii="Times New Roman" w:eastAsia="Times New Roman" w:hAnsi="Times New Roman" w:cs="Times New Roman"/>
                <w:b/>
                <w:sz w:val="18"/>
                <w:szCs w:val="18"/>
              </w:rPr>
            </w:pPr>
            <w:r w:rsidRPr="001566F3">
              <w:rPr>
                <w:rFonts w:ascii="Times New Roman" w:eastAsia="Times New Roman" w:hAnsi="Times New Roman" w:cs="Times New Roman"/>
                <w:b/>
                <w:sz w:val="18"/>
                <w:szCs w:val="18"/>
              </w:rPr>
              <w:t>Neni 2</w:t>
            </w:r>
          </w:p>
          <w:p w14:paraId="0F99F14D" w14:textId="502B926A" w:rsidR="00084CAC" w:rsidRPr="00556412" w:rsidRDefault="00084CAC" w:rsidP="00556412">
            <w:pPr>
              <w:spacing w:line="240" w:lineRule="atLeast"/>
              <w:jc w:val="both"/>
              <w:rPr>
                <w:rFonts w:ascii="Times New Roman" w:eastAsia="Times New Roman" w:hAnsi="Times New Roman" w:cs="Times New Roman"/>
                <w:sz w:val="18"/>
                <w:szCs w:val="18"/>
              </w:rPr>
            </w:pPr>
            <w:r w:rsidRPr="00556412">
              <w:rPr>
                <w:rFonts w:ascii="Times New Roman" w:eastAsia="Times New Roman" w:hAnsi="Times New Roman" w:cs="Times New Roman"/>
                <w:bCs/>
                <w:sz w:val="18"/>
                <w:szCs w:val="18"/>
              </w:rPr>
              <w:t>1.Shtetet Anëtare miratojnë dhe publikojnë, deri më 31 dhjetor 2016, ligjet, rregullat dhe dispozitat administrative të nevojshme për të qenë në përputhje me këtë Direktivë. Ato i komunikojnë menjëherë Komisionit tekstin e këtyre masave.</w:t>
            </w:r>
          </w:p>
          <w:p w14:paraId="43EF9866" w14:textId="77777777" w:rsidR="00084CAC" w:rsidRPr="00556412" w:rsidRDefault="00084CAC" w:rsidP="00556412">
            <w:pPr>
              <w:spacing w:line="240" w:lineRule="atLeast"/>
              <w:jc w:val="both"/>
              <w:rPr>
                <w:rFonts w:ascii="Times New Roman" w:eastAsia="Times New Roman" w:hAnsi="Times New Roman" w:cs="Times New Roman"/>
                <w:sz w:val="18"/>
                <w:szCs w:val="18"/>
              </w:rPr>
            </w:pPr>
            <w:r w:rsidRPr="00556412">
              <w:rPr>
                <w:rFonts w:ascii="Times New Roman" w:eastAsia="Times New Roman" w:hAnsi="Times New Roman" w:cs="Times New Roman"/>
                <w:sz w:val="18"/>
                <w:szCs w:val="18"/>
              </w:rPr>
              <w:t>Ato i zbatojnë këto masa duke filluar nga 1 janari 2017.</w:t>
            </w:r>
          </w:p>
          <w:p w14:paraId="3BD353D5" w14:textId="77777777" w:rsidR="00084CAC" w:rsidRPr="00556412" w:rsidRDefault="00084CAC" w:rsidP="00556412">
            <w:pPr>
              <w:spacing w:line="240" w:lineRule="atLeast"/>
              <w:jc w:val="both"/>
              <w:rPr>
                <w:rFonts w:ascii="Times New Roman" w:eastAsia="Times New Roman" w:hAnsi="Times New Roman" w:cs="Times New Roman"/>
                <w:sz w:val="18"/>
                <w:szCs w:val="18"/>
              </w:rPr>
            </w:pPr>
            <w:r w:rsidRPr="00556412">
              <w:rPr>
                <w:rFonts w:ascii="Times New Roman" w:eastAsia="Times New Roman" w:hAnsi="Times New Roman" w:cs="Times New Roman"/>
                <w:sz w:val="18"/>
                <w:szCs w:val="18"/>
              </w:rPr>
              <w:t>Kur Shtetet Anëtare miratojnë këto masa, ato duhet të përmbajnë një referencë ndaj kësaj Direktivë ose të shoqërohen me një referencë të tillë në momentin e publikimit të tyre zyrtar. Shtetet Anëtare përcaktojnë mënyrën se si bëhet kjo referencë.</w:t>
            </w:r>
          </w:p>
          <w:p w14:paraId="7CDADAEC" w14:textId="77777777" w:rsidR="00084CAC" w:rsidRPr="00556412" w:rsidRDefault="00084CAC" w:rsidP="00556412">
            <w:pPr>
              <w:spacing w:line="240" w:lineRule="atLeast"/>
              <w:jc w:val="both"/>
              <w:rPr>
                <w:rFonts w:ascii="Times New Roman" w:eastAsia="Times New Roman" w:hAnsi="Times New Roman" w:cs="Times New Roman"/>
                <w:sz w:val="18"/>
                <w:szCs w:val="18"/>
              </w:rPr>
            </w:pPr>
            <w:r w:rsidRPr="00556412">
              <w:rPr>
                <w:rFonts w:ascii="Times New Roman" w:eastAsia="Times New Roman" w:hAnsi="Times New Roman" w:cs="Times New Roman"/>
                <w:sz w:val="18"/>
                <w:szCs w:val="18"/>
              </w:rPr>
              <w:t>2. Shtetet Anëtare i komunikojnë Komisionit tekstin e dispozitave kryesore të legjislacionit kombëtar që miratojnë në fushën e mbuluar nga kjo Direktivë.</w:t>
            </w:r>
          </w:p>
          <w:p w14:paraId="4A4A4656" w14:textId="77777777" w:rsidR="00084CAC" w:rsidRPr="00556412" w:rsidRDefault="00084CAC" w:rsidP="00556412">
            <w:pPr>
              <w:spacing w:line="240" w:lineRule="atLeast"/>
              <w:jc w:val="both"/>
              <w:rPr>
                <w:rFonts w:ascii="Times New Roman" w:eastAsia="Calibri" w:hAnsi="Times New Roman" w:cs="Times New Roman"/>
                <w:iCs/>
                <w:sz w:val="18"/>
                <w:szCs w:val="18"/>
              </w:rPr>
            </w:pPr>
          </w:p>
        </w:tc>
        <w:tc>
          <w:tcPr>
            <w:tcW w:w="540" w:type="dxa"/>
          </w:tcPr>
          <w:p w14:paraId="1E792C95" w14:textId="77777777" w:rsidR="00084CAC" w:rsidRPr="00556412" w:rsidRDefault="00084CAC" w:rsidP="00556412">
            <w:pPr>
              <w:spacing w:line="240" w:lineRule="atLeast"/>
              <w:jc w:val="center"/>
              <w:rPr>
                <w:rFonts w:ascii="Times New Roman" w:eastAsia="Calibri" w:hAnsi="Times New Roman" w:cs="Times New Roman"/>
                <w:sz w:val="18"/>
                <w:szCs w:val="18"/>
                <w:highlight w:val="cyan"/>
              </w:rPr>
            </w:pPr>
          </w:p>
        </w:tc>
        <w:tc>
          <w:tcPr>
            <w:tcW w:w="630" w:type="dxa"/>
          </w:tcPr>
          <w:p w14:paraId="29B013B7" w14:textId="41EF1451" w:rsidR="00084CAC" w:rsidRPr="00556412" w:rsidRDefault="00205E01" w:rsidP="00556412">
            <w:pPr>
              <w:spacing w:line="240" w:lineRule="atLeast"/>
              <w:jc w:val="center"/>
              <w:rPr>
                <w:rFonts w:ascii="Times New Roman" w:eastAsia="Calibri" w:hAnsi="Times New Roman" w:cs="Times New Roman"/>
                <w:sz w:val="18"/>
                <w:szCs w:val="18"/>
              </w:rPr>
            </w:pPr>
            <w:r w:rsidRPr="00556412">
              <w:rPr>
                <w:rFonts w:ascii="Times New Roman" w:eastAsia="Calibri" w:hAnsi="Times New Roman" w:cs="Times New Roman"/>
                <w:sz w:val="18"/>
                <w:szCs w:val="18"/>
              </w:rPr>
              <w:t>N/A</w:t>
            </w:r>
          </w:p>
        </w:tc>
        <w:tc>
          <w:tcPr>
            <w:tcW w:w="4964" w:type="dxa"/>
          </w:tcPr>
          <w:p w14:paraId="375CE1DB" w14:textId="5E72CCD3" w:rsidR="00084CAC" w:rsidRPr="001566F3" w:rsidRDefault="00E71C1C" w:rsidP="00556412">
            <w:pPr>
              <w:spacing w:line="240" w:lineRule="atLeast"/>
              <w:jc w:val="center"/>
              <w:rPr>
                <w:rFonts w:ascii="Times New Roman" w:hAnsi="Times New Roman" w:cs="Times New Roman"/>
                <w:b/>
                <w:bCs/>
                <w:sz w:val="18"/>
                <w:szCs w:val="18"/>
              </w:rPr>
            </w:pPr>
            <w:r w:rsidRPr="001566F3">
              <w:rPr>
                <w:rFonts w:ascii="Times New Roman" w:hAnsi="Times New Roman" w:cs="Times New Roman"/>
                <w:b/>
                <w:bCs/>
                <w:sz w:val="18"/>
                <w:szCs w:val="18"/>
              </w:rPr>
              <w:t xml:space="preserve">Neni 11 </w:t>
            </w:r>
          </w:p>
          <w:p w14:paraId="79223709" w14:textId="77777777" w:rsidR="001566F3" w:rsidRPr="001566F3" w:rsidRDefault="001566F3" w:rsidP="001566F3">
            <w:pPr>
              <w:spacing w:after="120" w:line="240" w:lineRule="atLeast"/>
              <w:ind w:left="360"/>
              <w:jc w:val="center"/>
              <w:rPr>
                <w:rFonts w:ascii="Times New Roman" w:hAnsi="Times New Roman" w:cs="Times New Roman"/>
                <w:b/>
                <w:sz w:val="18"/>
                <w:szCs w:val="18"/>
                <w:highlight w:val="red"/>
                <w:lang w:val="sq-AL"/>
              </w:rPr>
            </w:pPr>
            <w:r w:rsidRPr="001566F3">
              <w:rPr>
                <w:rFonts w:ascii="Times New Roman" w:hAnsi="Times New Roman" w:cs="Times New Roman"/>
                <w:b/>
                <w:sz w:val="18"/>
                <w:szCs w:val="18"/>
                <w:lang w:val="sq-AL"/>
              </w:rPr>
              <w:t xml:space="preserve">Shkelja të dhënave, njoftimi dhe masat korrigjuese </w:t>
            </w:r>
          </w:p>
          <w:p w14:paraId="6AEEA250" w14:textId="77777777" w:rsidR="00E71C1C" w:rsidRPr="001566F3" w:rsidRDefault="00E71C1C" w:rsidP="00556412">
            <w:pPr>
              <w:spacing w:line="240" w:lineRule="atLeast"/>
              <w:jc w:val="center"/>
              <w:rPr>
                <w:rFonts w:ascii="Times New Roman" w:hAnsi="Times New Roman" w:cs="Times New Roman"/>
                <w:sz w:val="18"/>
                <w:szCs w:val="18"/>
                <w:lang w:val="sq-AL"/>
              </w:rPr>
            </w:pPr>
          </w:p>
          <w:p w14:paraId="0A295639" w14:textId="77777777" w:rsidR="00E71C1C" w:rsidRPr="00556412" w:rsidRDefault="00E71C1C" w:rsidP="00556412">
            <w:pPr>
              <w:pStyle w:val="ListParagraph"/>
              <w:numPr>
                <w:ilvl w:val="0"/>
                <w:numId w:val="48"/>
              </w:numPr>
              <w:spacing w:after="120" w:line="240" w:lineRule="atLeast"/>
              <w:jc w:val="both"/>
              <w:rPr>
                <w:rFonts w:ascii="Times New Roman" w:hAnsi="Times New Roman" w:cs="Times New Roman"/>
                <w:sz w:val="18"/>
                <w:szCs w:val="18"/>
                <w:lang w:val="sq-AL"/>
              </w:rPr>
            </w:pPr>
            <w:r w:rsidRPr="00556412">
              <w:rPr>
                <w:rFonts w:ascii="Times New Roman" w:hAnsi="Times New Roman" w:cs="Times New Roman"/>
                <w:sz w:val="18"/>
                <w:szCs w:val="18"/>
                <w:lang w:val="sq-AL"/>
              </w:rPr>
              <w:t>Kur ndodh një shkelje e të dhënave në Republikën e Shqipërisë në informacionin e përpunuar sipas këtij ligji, Drejtoria e Përgjithshme e Tatimeve njofton pa vonesë Komisionin Evropian për shkeljen dhe për masat korrigjuese të marra. Komisioni informon pa vonesë shtetet anëtare.</w:t>
            </w:r>
          </w:p>
          <w:p w14:paraId="6EDD8399" w14:textId="77777777" w:rsidR="00E71C1C" w:rsidRPr="00556412" w:rsidRDefault="00E71C1C" w:rsidP="00556412">
            <w:pPr>
              <w:pStyle w:val="ListParagraph"/>
              <w:numPr>
                <w:ilvl w:val="0"/>
                <w:numId w:val="48"/>
              </w:numPr>
              <w:spacing w:after="120" w:line="240" w:lineRule="atLeast"/>
              <w:jc w:val="both"/>
              <w:rPr>
                <w:rFonts w:ascii="Times New Roman" w:hAnsi="Times New Roman" w:cs="Times New Roman"/>
                <w:sz w:val="18"/>
                <w:szCs w:val="18"/>
                <w:lang w:val="sq-AL"/>
              </w:rPr>
            </w:pPr>
            <w:r w:rsidRPr="00556412">
              <w:rPr>
                <w:rFonts w:ascii="Times New Roman" w:hAnsi="Times New Roman" w:cs="Times New Roman"/>
                <w:sz w:val="18"/>
                <w:szCs w:val="18"/>
                <w:lang w:val="sq-AL"/>
              </w:rPr>
              <w:t>Në rast se  shkelja në Republikën e Shqipërisë nuk mund të frenohet menjëherë dhe në mëmyrë duhur  , Drejtoria e Përgjithshme e Tatimeve kërkon pezullimin e aksesit të CCN të Republikës së Shqipërisë për qëllimet e këtij ligji.  Komisioni pezullon një akses e të tillë dhe dhe e rikthen atë pas korrigjimit të shkeljes, përfshirë, kur është e nevojshme, kryerjen e verifikimeve të përbashkëta.</w:t>
            </w:r>
          </w:p>
          <w:p w14:paraId="430E7BF1" w14:textId="77777777" w:rsidR="00E71C1C" w:rsidRPr="00556412" w:rsidRDefault="00E71C1C" w:rsidP="00556412">
            <w:pPr>
              <w:pStyle w:val="ListParagraph"/>
              <w:numPr>
                <w:ilvl w:val="0"/>
                <w:numId w:val="48"/>
              </w:numPr>
              <w:spacing w:after="120" w:line="240" w:lineRule="atLeast"/>
              <w:jc w:val="both"/>
              <w:rPr>
                <w:rFonts w:ascii="Times New Roman" w:hAnsi="Times New Roman" w:cs="Times New Roman"/>
                <w:sz w:val="18"/>
                <w:szCs w:val="18"/>
                <w:lang w:val="sq-AL"/>
              </w:rPr>
            </w:pPr>
            <w:r w:rsidRPr="00556412">
              <w:rPr>
                <w:rFonts w:ascii="Times New Roman" w:hAnsi="Times New Roman" w:cs="Times New Roman"/>
                <w:sz w:val="18"/>
                <w:szCs w:val="18"/>
                <w:lang w:val="sq-AL"/>
              </w:rPr>
              <w:t>Drejtoria e Përgjithshme e Tatimeve mund të pezullojë shkëmbimin e informacionit me një shtet anëtar kur ka ndodhur një shkelje, duke njoftuar  me shkrim për Komisionin dhe shtetin anëtar përkatës, me efekt të menjëhershëm.</w:t>
            </w:r>
          </w:p>
          <w:p w14:paraId="1DB5B407" w14:textId="77777777" w:rsidR="00E71C1C" w:rsidRPr="00556412" w:rsidRDefault="00E71C1C" w:rsidP="00556412">
            <w:pPr>
              <w:pStyle w:val="ListParagraph"/>
              <w:numPr>
                <w:ilvl w:val="0"/>
                <w:numId w:val="48"/>
              </w:numPr>
              <w:spacing w:after="120" w:line="240" w:lineRule="atLeast"/>
              <w:jc w:val="both"/>
              <w:rPr>
                <w:rFonts w:ascii="Times New Roman" w:hAnsi="Times New Roman" w:cs="Times New Roman"/>
                <w:sz w:val="18"/>
                <w:szCs w:val="18"/>
                <w:lang w:val="sq-AL"/>
              </w:rPr>
            </w:pPr>
            <w:r w:rsidRPr="00556412">
              <w:rPr>
                <w:rFonts w:ascii="Times New Roman" w:hAnsi="Times New Roman" w:cs="Times New Roman"/>
                <w:sz w:val="18"/>
                <w:szCs w:val="18"/>
                <w:lang w:val="sq-AL"/>
              </w:rPr>
              <w:lastRenderedPageBreak/>
              <w:t>Kur ndodh një shkelje në regjistrin qëndror ose në CCN, Komisioni njofton  shtetet anëtare pa vonesë të panevojshme dhe mund të pezullojë aksesin deri në korrigjimin e shkeljes.</w:t>
            </w:r>
          </w:p>
          <w:p w14:paraId="5EC84476" w14:textId="383A69CE" w:rsidR="00E71C1C" w:rsidRPr="00556412" w:rsidRDefault="00E71C1C" w:rsidP="00556412">
            <w:pPr>
              <w:pStyle w:val="ListParagraph"/>
              <w:numPr>
                <w:ilvl w:val="0"/>
                <w:numId w:val="48"/>
              </w:numPr>
              <w:spacing w:after="120" w:line="240" w:lineRule="atLeast"/>
              <w:jc w:val="both"/>
              <w:rPr>
                <w:rFonts w:ascii="Times New Roman" w:hAnsi="Times New Roman" w:cs="Times New Roman"/>
                <w:b/>
                <w:sz w:val="18"/>
                <w:szCs w:val="18"/>
                <w:lang w:val="sq-AL"/>
              </w:rPr>
            </w:pPr>
            <w:r w:rsidRPr="00556412">
              <w:rPr>
                <w:rFonts w:ascii="Times New Roman" w:hAnsi="Times New Roman" w:cs="Times New Roman"/>
                <w:sz w:val="18"/>
                <w:szCs w:val="18"/>
                <w:lang w:val="sq-AL"/>
              </w:rPr>
              <w:t>Drejtoria e Përgjithshme e Tatimeve zbato</w:t>
            </w:r>
            <w:r w:rsidR="000A65F2">
              <w:rPr>
                <w:rFonts w:ascii="Times New Roman" w:hAnsi="Times New Roman" w:cs="Times New Roman"/>
                <w:sz w:val="18"/>
                <w:szCs w:val="18"/>
                <w:lang w:val="sq-AL"/>
              </w:rPr>
              <w:t>n</w:t>
            </w:r>
            <w:r w:rsidRPr="00556412">
              <w:rPr>
                <w:rFonts w:ascii="Times New Roman" w:hAnsi="Times New Roman" w:cs="Times New Roman"/>
                <w:sz w:val="18"/>
                <w:szCs w:val="18"/>
                <w:lang w:val="sq-AL"/>
              </w:rPr>
              <w:t xml:space="preserve"> dhe mirëmba</w:t>
            </w:r>
            <w:r w:rsidR="000A65F2">
              <w:rPr>
                <w:rFonts w:ascii="Times New Roman" w:hAnsi="Times New Roman" w:cs="Times New Roman"/>
                <w:sz w:val="18"/>
                <w:szCs w:val="18"/>
                <w:lang w:val="sq-AL"/>
              </w:rPr>
              <w:t>n</w:t>
            </w:r>
            <w:r w:rsidRPr="00556412">
              <w:rPr>
                <w:rFonts w:ascii="Times New Roman" w:hAnsi="Times New Roman" w:cs="Times New Roman"/>
                <w:sz w:val="18"/>
                <w:szCs w:val="18"/>
                <w:lang w:val="sq-AL"/>
              </w:rPr>
              <w:t xml:space="preserve"> proceset e menaxhimit të shkeljeve të të dhënave në përputhje me praktikat e mira të njohura ndërkombëtarisht dhe marrëveshjet praktike të rëna dakord me Komisionin (duke përfshirë, kur është e përshtatshme, marrëveshjet/modelet e kontrolluesit të përbashkët ose kontrollues-përpunues).</w:t>
            </w:r>
          </w:p>
          <w:p w14:paraId="62F1272C" w14:textId="39E4337B" w:rsidR="00E71C1C" w:rsidRPr="00556412" w:rsidRDefault="00E71C1C" w:rsidP="00556412">
            <w:pPr>
              <w:spacing w:line="240" w:lineRule="atLeast"/>
              <w:rPr>
                <w:rFonts w:ascii="Times New Roman" w:hAnsi="Times New Roman" w:cs="Times New Roman"/>
                <w:sz w:val="18"/>
                <w:szCs w:val="18"/>
                <w:lang w:val="sq-AL"/>
              </w:rPr>
            </w:pPr>
          </w:p>
        </w:tc>
        <w:tc>
          <w:tcPr>
            <w:tcW w:w="976" w:type="dxa"/>
          </w:tcPr>
          <w:p w14:paraId="5878BF11" w14:textId="7528AC04" w:rsidR="00084CAC" w:rsidRPr="00556412" w:rsidRDefault="00E71C1C" w:rsidP="00556412">
            <w:pPr>
              <w:spacing w:line="240" w:lineRule="atLeast"/>
              <w:jc w:val="center"/>
              <w:rPr>
                <w:rFonts w:ascii="Times New Roman" w:eastAsia="Calibri" w:hAnsi="Times New Roman" w:cs="Times New Roman"/>
                <w:sz w:val="18"/>
                <w:szCs w:val="18"/>
              </w:rPr>
            </w:pPr>
            <w:r w:rsidRPr="00556412">
              <w:rPr>
                <w:rFonts w:ascii="Times New Roman" w:eastAsia="Calibri" w:hAnsi="Times New Roman" w:cs="Times New Roman"/>
                <w:sz w:val="18"/>
                <w:szCs w:val="18"/>
              </w:rPr>
              <w:lastRenderedPageBreak/>
              <w:t>F</w:t>
            </w:r>
          </w:p>
        </w:tc>
        <w:tc>
          <w:tcPr>
            <w:tcW w:w="3150" w:type="dxa"/>
          </w:tcPr>
          <w:p w14:paraId="68034645" w14:textId="77777777" w:rsidR="00C216DD" w:rsidRPr="00556412" w:rsidRDefault="00C216DD" w:rsidP="00556412">
            <w:pPr>
              <w:spacing w:line="240" w:lineRule="atLeast"/>
              <w:jc w:val="both"/>
              <w:rPr>
                <w:rFonts w:ascii="Times New Roman" w:eastAsia="Times New Roman" w:hAnsi="Times New Roman" w:cs="Times New Roman"/>
                <w:bCs/>
                <w:sz w:val="18"/>
                <w:szCs w:val="18"/>
              </w:rPr>
            </w:pPr>
            <w:r w:rsidRPr="00556412">
              <w:rPr>
                <w:rFonts w:ascii="Times New Roman" w:eastAsia="Times New Roman" w:hAnsi="Times New Roman" w:cs="Times New Roman"/>
                <w:bCs/>
                <w:sz w:val="18"/>
                <w:szCs w:val="18"/>
              </w:rPr>
              <w:t>Nuk kërkon transpozim, është një dispozitë që u drejtohet Shteteve Anëtare dhe përcakton afate tashmë të tejkaluara për miratimin dhe publikimin e ligjit.</w:t>
            </w:r>
          </w:p>
          <w:p w14:paraId="11C1E312" w14:textId="50D1C4DC" w:rsidR="00E71C1C" w:rsidRPr="00556412" w:rsidRDefault="00E71C1C" w:rsidP="00556412">
            <w:pPr>
              <w:spacing w:line="240" w:lineRule="atLeast"/>
              <w:jc w:val="both"/>
              <w:rPr>
                <w:rFonts w:ascii="Times New Roman" w:eastAsia="Times New Roman" w:hAnsi="Times New Roman" w:cs="Times New Roman"/>
                <w:bCs/>
                <w:sz w:val="18"/>
                <w:szCs w:val="18"/>
              </w:rPr>
            </w:pPr>
            <w:r w:rsidRPr="00556412">
              <w:rPr>
                <w:rFonts w:ascii="Times New Roman" w:eastAsia="Times New Roman" w:hAnsi="Times New Roman" w:cs="Times New Roman"/>
                <w:bCs/>
                <w:sz w:val="18"/>
                <w:szCs w:val="18"/>
              </w:rPr>
              <w:t>P</w:t>
            </w:r>
            <w:r w:rsidR="00CD309C">
              <w:rPr>
                <w:rFonts w:ascii="Times New Roman" w:eastAsia="Times New Roman" w:hAnsi="Times New Roman" w:cs="Times New Roman"/>
                <w:bCs/>
                <w:sz w:val="18"/>
                <w:szCs w:val="18"/>
              </w:rPr>
              <w:t>ë</w:t>
            </w:r>
            <w:r w:rsidRPr="00556412">
              <w:rPr>
                <w:rFonts w:ascii="Times New Roman" w:eastAsia="Times New Roman" w:hAnsi="Times New Roman" w:cs="Times New Roman"/>
                <w:bCs/>
                <w:sz w:val="18"/>
                <w:szCs w:val="18"/>
              </w:rPr>
              <w:t>r t</w:t>
            </w:r>
            <w:r w:rsidR="00CD309C">
              <w:rPr>
                <w:rFonts w:ascii="Times New Roman" w:eastAsia="Times New Roman" w:hAnsi="Times New Roman" w:cs="Times New Roman"/>
                <w:bCs/>
                <w:sz w:val="18"/>
                <w:szCs w:val="18"/>
              </w:rPr>
              <w:t>ë</w:t>
            </w:r>
            <w:r w:rsidRPr="00556412">
              <w:rPr>
                <w:rFonts w:ascii="Times New Roman" w:eastAsia="Times New Roman" w:hAnsi="Times New Roman" w:cs="Times New Roman"/>
                <w:bCs/>
                <w:sz w:val="18"/>
                <w:szCs w:val="18"/>
              </w:rPr>
              <w:t xml:space="preserve"> siguruar p</w:t>
            </w:r>
            <w:r w:rsidR="00CD309C">
              <w:rPr>
                <w:rFonts w:ascii="Times New Roman" w:eastAsia="Times New Roman" w:hAnsi="Times New Roman" w:cs="Times New Roman"/>
                <w:bCs/>
                <w:sz w:val="18"/>
                <w:szCs w:val="18"/>
              </w:rPr>
              <w:t>ë</w:t>
            </w:r>
            <w:r w:rsidRPr="00556412">
              <w:rPr>
                <w:rFonts w:ascii="Times New Roman" w:eastAsia="Times New Roman" w:hAnsi="Times New Roman" w:cs="Times New Roman"/>
                <w:bCs/>
                <w:sz w:val="18"/>
                <w:szCs w:val="18"/>
              </w:rPr>
              <w:t>rputhshm</w:t>
            </w:r>
            <w:r w:rsidR="00CD309C">
              <w:rPr>
                <w:rFonts w:ascii="Times New Roman" w:eastAsia="Times New Roman" w:hAnsi="Times New Roman" w:cs="Times New Roman"/>
                <w:bCs/>
                <w:sz w:val="18"/>
                <w:szCs w:val="18"/>
              </w:rPr>
              <w:t>ë</w:t>
            </w:r>
            <w:r w:rsidRPr="00556412">
              <w:rPr>
                <w:rFonts w:ascii="Times New Roman" w:eastAsia="Times New Roman" w:hAnsi="Times New Roman" w:cs="Times New Roman"/>
                <w:bCs/>
                <w:sz w:val="18"/>
                <w:szCs w:val="18"/>
              </w:rPr>
              <w:t>ri t</w:t>
            </w:r>
            <w:r w:rsidR="00CD309C">
              <w:rPr>
                <w:rFonts w:ascii="Times New Roman" w:eastAsia="Times New Roman" w:hAnsi="Times New Roman" w:cs="Times New Roman"/>
                <w:bCs/>
                <w:sz w:val="18"/>
                <w:szCs w:val="18"/>
              </w:rPr>
              <w:t>ë</w:t>
            </w:r>
            <w:r w:rsidRPr="00556412">
              <w:rPr>
                <w:rFonts w:ascii="Times New Roman" w:eastAsia="Times New Roman" w:hAnsi="Times New Roman" w:cs="Times New Roman"/>
                <w:bCs/>
                <w:sz w:val="18"/>
                <w:szCs w:val="18"/>
              </w:rPr>
              <w:t xml:space="preserve"> plot</w:t>
            </w:r>
            <w:r w:rsidR="00CD309C">
              <w:rPr>
                <w:rFonts w:ascii="Times New Roman" w:eastAsia="Times New Roman" w:hAnsi="Times New Roman" w:cs="Times New Roman"/>
                <w:bCs/>
                <w:sz w:val="18"/>
                <w:szCs w:val="18"/>
              </w:rPr>
              <w:t>ë</w:t>
            </w:r>
            <w:r w:rsidRPr="00556412">
              <w:rPr>
                <w:rFonts w:ascii="Times New Roman" w:eastAsia="Times New Roman" w:hAnsi="Times New Roman" w:cs="Times New Roman"/>
                <w:bCs/>
                <w:sz w:val="18"/>
                <w:szCs w:val="18"/>
              </w:rPr>
              <w:t xml:space="preserve"> me k</w:t>
            </w:r>
            <w:r w:rsidR="00CD309C">
              <w:rPr>
                <w:rFonts w:ascii="Times New Roman" w:eastAsia="Times New Roman" w:hAnsi="Times New Roman" w:cs="Times New Roman"/>
                <w:bCs/>
                <w:sz w:val="18"/>
                <w:szCs w:val="18"/>
              </w:rPr>
              <w:t>ë</w:t>
            </w:r>
            <w:r w:rsidRPr="00556412">
              <w:rPr>
                <w:rFonts w:ascii="Times New Roman" w:eastAsia="Times New Roman" w:hAnsi="Times New Roman" w:cs="Times New Roman"/>
                <w:bCs/>
                <w:sz w:val="18"/>
                <w:szCs w:val="18"/>
              </w:rPr>
              <w:t>t</w:t>
            </w:r>
            <w:r w:rsidR="00CD309C">
              <w:rPr>
                <w:rFonts w:ascii="Times New Roman" w:eastAsia="Times New Roman" w:hAnsi="Times New Roman" w:cs="Times New Roman"/>
                <w:bCs/>
                <w:sz w:val="18"/>
                <w:szCs w:val="18"/>
              </w:rPr>
              <w:t>ë</w:t>
            </w:r>
            <w:r w:rsidRPr="00556412">
              <w:rPr>
                <w:rFonts w:ascii="Times New Roman" w:eastAsia="Times New Roman" w:hAnsi="Times New Roman" w:cs="Times New Roman"/>
                <w:bCs/>
                <w:sz w:val="18"/>
                <w:szCs w:val="18"/>
              </w:rPr>
              <w:t xml:space="preserve"> Direktiv</w:t>
            </w:r>
            <w:r w:rsidR="00CD309C">
              <w:rPr>
                <w:rFonts w:ascii="Times New Roman" w:eastAsia="Times New Roman" w:hAnsi="Times New Roman" w:cs="Times New Roman"/>
                <w:bCs/>
                <w:sz w:val="18"/>
                <w:szCs w:val="18"/>
              </w:rPr>
              <w:t>ë</w:t>
            </w:r>
            <w:r w:rsidRPr="00556412">
              <w:rPr>
                <w:rFonts w:ascii="Times New Roman" w:eastAsia="Times New Roman" w:hAnsi="Times New Roman" w:cs="Times New Roman"/>
                <w:bCs/>
                <w:sz w:val="18"/>
                <w:szCs w:val="18"/>
              </w:rPr>
              <w:t>, u hartua ky projektligj i vecant</w:t>
            </w:r>
            <w:r w:rsidR="00CD309C">
              <w:rPr>
                <w:rFonts w:ascii="Times New Roman" w:eastAsia="Times New Roman" w:hAnsi="Times New Roman" w:cs="Times New Roman"/>
                <w:bCs/>
                <w:sz w:val="18"/>
                <w:szCs w:val="18"/>
              </w:rPr>
              <w:t>ë</w:t>
            </w:r>
            <w:r w:rsidRPr="00556412">
              <w:rPr>
                <w:rFonts w:ascii="Times New Roman" w:eastAsia="Times New Roman" w:hAnsi="Times New Roman" w:cs="Times New Roman"/>
                <w:bCs/>
                <w:sz w:val="18"/>
                <w:szCs w:val="18"/>
              </w:rPr>
              <w:t xml:space="preserve">. </w:t>
            </w:r>
          </w:p>
          <w:p w14:paraId="136110F2" w14:textId="08E92AE5" w:rsidR="001566F3" w:rsidRPr="001566F3" w:rsidRDefault="00E71C1C" w:rsidP="001566F3">
            <w:pPr>
              <w:spacing w:after="120" w:line="240" w:lineRule="atLeast"/>
              <w:ind w:left="360"/>
              <w:jc w:val="both"/>
              <w:rPr>
                <w:rFonts w:ascii="Times New Roman" w:hAnsi="Times New Roman" w:cs="Times New Roman"/>
                <w:bCs/>
                <w:sz w:val="18"/>
                <w:szCs w:val="18"/>
                <w:highlight w:val="red"/>
                <w:lang w:val="sq-AL"/>
              </w:rPr>
            </w:pPr>
            <w:r w:rsidRPr="001566F3">
              <w:rPr>
                <w:rFonts w:ascii="Times New Roman" w:eastAsia="Times New Roman" w:hAnsi="Times New Roman" w:cs="Times New Roman"/>
                <w:bCs/>
                <w:sz w:val="18"/>
                <w:szCs w:val="18"/>
              </w:rPr>
              <w:t>Pjes</w:t>
            </w:r>
            <w:r w:rsidR="00CD309C" w:rsidRPr="001566F3">
              <w:rPr>
                <w:rFonts w:ascii="Times New Roman" w:eastAsia="Times New Roman" w:hAnsi="Times New Roman" w:cs="Times New Roman"/>
                <w:bCs/>
                <w:sz w:val="18"/>
                <w:szCs w:val="18"/>
              </w:rPr>
              <w:t>ë</w:t>
            </w:r>
            <w:r w:rsidRPr="001566F3">
              <w:rPr>
                <w:rFonts w:ascii="Times New Roman" w:eastAsia="Times New Roman" w:hAnsi="Times New Roman" w:cs="Times New Roman"/>
                <w:bCs/>
                <w:sz w:val="18"/>
                <w:szCs w:val="18"/>
              </w:rPr>
              <w:t xml:space="preserve"> e k</w:t>
            </w:r>
            <w:r w:rsidR="00CD309C" w:rsidRPr="001566F3">
              <w:rPr>
                <w:rFonts w:ascii="Times New Roman" w:eastAsia="Times New Roman" w:hAnsi="Times New Roman" w:cs="Times New Roman"/>
                <w:bCs/>
                <w:sz w:val="18"/>
                <w:szCs w:val="18"/>
              </w:rPr>
              <w:t>ë</w:t>
            </w:r>
            <w:r w:rsidRPr="001566F3">
              <w:rPr>
                <w:rFonts w:ascii="Times New Roman" w:eastAsia="Times New Roman" w:hAnsi="Times New Roman" w:cs="Times New Roman"/>
                <w:bCs/>
                <w:sz w:val="18"/>
                <w:szCs w:val="18"/>
              </w:rPr>
              <w:t xml:space="preserve">tij projektligji </w:t>
            </w:r>
            <w:r w:rsidR="00CD309C" w:rsidRPr="001566F3">
              <w:rPr>
                <w:rFonts w:ascii="Times New Roman" w:eastAsia="Times New Roman" w:hAnsi="Times New Roman" w:cs="Times New Roman"/>
                <w:bCs/>
                <w:sz w:val="18"/>
                <w:szCs w:val="18"/>
              </w:rPr>
              <w:t>ë</w:t>
            </w:r>
            <w:r w:rsidRPr="001566F3">
              <w:rPr>
                <w:rFonts w:ascii="Times New Roman" w:eastAsia="Times New Roman" w:hAnsi="Times New Roman" w:cs="Times New Roman"/>
                <w:bCs/>
                <w:sz w:val="18"/>
                <w:szCs w:val="18"/>
              </w:rPr>
              <w:t>sht</w:t>
            </w:r>
            <w:r w:rsidR="00CD309C" w:rsidRPr="001566F3">
              <w:rPr>
                <w:rFonts w:ascii="Times New Roman" w:eastAsia="Times New Roman" w:hAnsi="Times New Roman" w:cs="Times New Roman"/>
                <w:bCs/>
                <w:sz w:val="18"/>
                <w:szCs w:val="18"/>
              </w:rPr>
              <w:t>ë</w:t>
            </w:r>
            <w:r w:rsidRPr="001566F3">
              <w:rPr>
                <w:rFonts w:ascii="Times New Roman" w:eastAsia="Times New Roman" w:hAnsi="Times New Roman" w:cs="Times New Roman"/>
                <w:bCs/>
                <w:sz w:val="18"/>
                <w:szCs w:val="18"/>
              </w:rPr>
              <w:t xml:space="preserve"> edhe neni 11 q</w:t>
            </w:r>
            <w:r w:rsidR="00CD309C" w:rsidRPr="001566F3">
              <w:rPr>
                <w:rFonts w:ascii="Times New Roman" w:eastAsia="Times New Roman" w:hAnsi="Times New Roman" w:cs="Times New Roman"/>
                <w:bCs/>
                <w:sz w:val="18"/>
                <w:szCs w:val="18"/>
              </w:rPr>
              <w:t>ë</w:t>
            </w:r>
            <w:r w:rsidRPr="001566F3">
              <w:rPr>
                <w:rFonts w:ascii="Times New Roman" w:eastAsia="Times New Roman" w:hAnsi="Times New Roman" w:cs="Times New Roman"/>
                <w:bCs/>
                <w:sz w:val="18"/>
                <w:szCs w:val="18"/>
              </w:rPr>
              <w:t xml:space="preserve"> lidhet me </w:t>
            </w:r>
            <w:r w:rsidR="001566F3" w:rsidRPr="001566F3">
              <w:rPr>
                <w:rFonts w:ascii="Times New Roman" w:eastAsia="Times New Roman" w:hAnsi="Times New Roman" w:cs="Times New Roman"/>
                <w:bCs/>
                <w:sz w:val="18"/>
                <w:szCs w:val="18"/>
              </w:rPr>
              <w:t xml:space="preserve">masat pwr </w:t>
            </w:r>
            <w:r w:rsidR="001566F3" w:rsidRPr="001566F3">
              <w:rPr>
                <w:rFonts w:ascii="Times New Roman" w:hAnsi="Times New Roman" w:cs="Times New Roman"/>
                <w:bCs/>
                <w:sz w:val="18"/>
                <w:szCs w:val="18"/>
                <w:lang w:val="sq-AL"/>
              </w:rPr>
              <w:t xml:space="preserve">shkeljen e të dhënave, njoftimin dhe masat korrigjuese </w:t>
            </w:r>
          </w:p>
          <w:p w14:paraId="2B46C139" w14:textId="0DD3D016" w:rsidR="00084CAC" w:rsidRPr="001566F3" w:rsidRDefault="00084CAC" w:rsidP="00556412">
            <w:pPr>
              <w:spacing w:line="240" w:lineRule="atLeast"/>
              <w:jc w:val="both"/>
              <w:rPr>
                <w:rFonts w:ascii="Times New Roman" w:eastAsia="Calibri" w:hAnsi="Times New Roman" w:cs="Times New Roman"/>
                <w:sz w:val="18"/>
                <w:szCs w:val="18"/>
                <w:lang w:val="sq-AL"/>
              </w:rPr>
            </w:pPr>
          </w:p>
        </w:tc>
      </w:tr>
      <w:tr w:rsidR="00B46145" w:rsidRPr="00556412" w14:paraId="17E5AF2A" w14:textId="77777777" w:rsidTr="003C3604">
        <w:trPr>
          <w:trHeight w:val="2204"/>
        </w:trPr>
        <w:tc>
          <w:tcPr>
            <w:tcW w:w="540" w:type="dxa"/>
          </w:tcPr>
          <w:p w14:paraId="25097CAA" w14:textId="77777777" w:rsidR="00B46145" w:rsidRPr="00556412" w:rsidRDefault="00B46145" w:rsidP="00556412">
            <w:pPr>
              <w:spacing w:line="240" w:lineRule="atLeast"/>
              <w:jc w:val="both"/>
              <w:rPr>
                <w:rFonts w:ascii="Times New Roman" w:eastAsia="Calibri" w:hAnsi="Times New Roman" w:cs="Times New Roman"/>
                <w:sz w:val="18"/>
                <w:szCs w:val="18"/>
              </w:rPr>
            </w:pPr>
          </w:p>
        </w:tc>
        <w:tc>
          <w:tcPr>
            <w:tcW w:w="5400" w:type="dxa"/>
          </w:tcPr>
          <w:p w14:paraId="085955E3" w14:textId="049FE842" w:rsidR="00B46145" w:rsidRPr="00556412" w:rsidRDefault="00DD2655" w:rsidP="00556412">
            <w:pPr>
              <w:spacing w:line="240" w:lineRule="atLeast"/>
              <w:jc w:val="center"/>
              <w:rPr>
                <w:rFonts w:ascii="Times New Roman" w:eastAsia="Calibri" w:hAnsi="Times New Roman" w:cs="Times New Roman"/>
                <w:b/>
                <w:iCs/>
                <w:sz w:val="18"/>
                <w:szCs w:val="18"/>
              </w:rPr>
            </w:pPr>
            <w:r w:rsidRPr="00556412">
              <w:rPr>
                <w:rFonts w:ascii="Times New Roman" w:eastAsia="Calibri" w:hAnsi="Times New Roman" w:cs="Times New Roman"/>
                <w:b/>
                <w:iCs/>
                <w:sz w:val="18"/>
                <w:szCs w:val="18"/>
              </w:rPr>
              <w:t>Neni</w:t>
            </w:r>
            <w:r w:rsidR="00B46145" w:rsidRPr="00556412">
              <w:rPr>
                <w:rFonts w:ascii="Times New Roman" w:eastAsia="Calibri" w:hAnsi="Times New Roman" w:cs="Times New Roman"/>
                <w:b/>
                <w:iCs/>
                <w:sz w:val="18"/>
                <w:szCs w:val="18"/>
              </w:rPr>
              <w:t xml:space="preserve"> 3</w:t>
            </w:r>
          </w:p>
          <w:p w14:paraId="6640975D" w14:textId="77777777" w:rsidR="00B46145" w:rsidRPr="00556412" w:rsidRDefault="00B46145" w:rsidP="00556412">
            <w:pPr>
              <w:spacing w:line="240" w:lineRule="atLeast"/>
              <w:jc w:val="both"/>
              <w:rPr>
                <w:rFonts w:ascii="Times New Roman" w:eastAsia="Calibri" w:hAnsi="Times New Roman" w:cs="Times New Roman"/>
                <w:iCs/>
                <w:sz w:val="18"/>
                <w:szCs w:val="18"/>
              </w:rPr>
            </w:pPr>
          </w:p>
          <w:p w14:paraId="60A50243" w14:textId="77777777" w:rsidR="00075CEE" w:rsidRPr="00556412" w:rsidRDefault="00075CEE" w:rsidP="00556412">
            <w:pPr>
              <w:spacing w:line="240" w:lineRule="atLeast"/>
              <w:jc w:val="both"/>
              <w:rPr>
                <w:rFonts w:ascii="Times New Roman" w:eastAsia="Times New Roman" w:hAnsi="Times New Roman" w:cs="Times New Roman"/>
                <w:sz w:val="18"/>
                <w:szCs w:val="18"/>
              </w:rPr>
            </w:pPr>
            <w:r w:rsidRPr="00556412">
              <w:rPr>
                <w:rFonts w:ascii="Times New Roman" w:eastAsia="Times New Roman" w:hAnsi="Times New Roman" w:cs="Times New Roman"/>
                <w:sz w:val="18"/>
                <w:szCs w:val="18"/>
              </w:rPr>
              <w:t>Kjo Direktivë hyn në fuqi në ditën e publikimit të saj në Gazetën Zyrtare të Bashkimit Evropian.</w:t>
            </w:r>
          </w:p>
          <w:p w14:paraId="780054BB" w14:textId="49A077EB" w:rsidR="00B46145" w:rsidRPr="00556412" w:rsidRDefault="00B46145" w:rsidP="00556412">
            <w:pPr>
              <w:spacing w:line="240" w:lineRule="atLeast"/>
              <w:jc w:val="center"/>
              <w:rPr>
                <w:rFonts w:ascii="Times New Roman" w:eastAsia="Calibri" w:hAnsi="Times New Roman" w:cs="Times New Roman"/>
                <w:iCs/>
                <w:sz w:val="18"/>
                <w:szCs w:val="18"/>
              </w:rPr>
            </w:pPr>
          </w:p>
        </w:tc>
        <w:tc>
          <w:tcPr>
            <w:tcW w:w="540" w:type="dxa"/>
          </w:tcPr>
          <w:p w14:paraId="3FBF7502" w14:textId="77777777" w:rsidR="00B46145" w:rsidRPr="00556412" w:rsidRDefault="00B46145" w:rsidP="00556412">
            <w:pPr>
              <w:spacing w:line="240" w:lineRule="atLeast"/>
              <w:jc w:val="center"/>
              <w:rPr>
                <w:rFonts w:ascii="Times New Roman" w:eastAsia="Calibri" w:hAnsi="Times New Roman" w:cs="Times New Roman"/>
                <w:sz w:val="18"/>
                <w:szCs w:val="18"/>
                <w:highlight w:val="cyan"/>
              </w:rPr>
            </w:pPr>
          </w:p>
        </w:tc>
        <w:tc>
          <w:tcPr>
            <w:tcW w:w="630" w:type="dxa"/>
          </w:tcPr>
          <w:p w14:paraId="42EF2AD1" w14:textId="77777777" w:rsidR="00B46145" w:rsidRPr="00556412" w:rsidRDefault="00AE2F5E" w:rsidP="00556412">
            <w:pPr>
              <w:spacing w:line="240" w:lineRule="atLeast"/>
              <w:jc w:val="center"/>
              <w:rPr>
                <w:rFonts w:ascii="Times New Roman" w:eastAsia="Calibri" w:hAnsi="Times New Roman" w:cs="Times New Roman"/>
                <w:sz w:val="18"/>
                <w:szCs w:val="18"/>
              </w:rPr>
            </w:pPr>
            <w:r w:rsidRPr="00556412">
              <w:rPr>
                <w:rFonts w:ascii="Times New Roman" w:eastAsia="Calibri" w:hAnsi="Times New Roman" w:cs="Times New Roman"/>
                <w:sz w:val="18"/>
                <w:szCs w:val="18"/>
              </w:rPr>
              <w:t xml:space="preserve"> Neni 13</w:t>
            </w:r>
          </w:p>
          <w:p w14:paraId="2EF896EF" w14:textId="2BFE859C" w:rsidR="000C0746" w:rsidRPr="00556412" w:rsidRDefault="000C0746" w:rsidP="00556412">
            <w:pPr>
              <w:spacing w:line="240" w:lineRule="atLeast"/>
              <w:jc w:val="center"/>
              <w:rPr>
                <w:rFonts w:ascii="Times New Roman" w:eastAsia="Calibri" w:hAnsi="Times New Roman" w:cs="Times New Roman"/>
                <w:sz w:val="18"/>
                <w:szCs w:val="18"/>
                <w:highlight w:val="cyan"/>
              </w:rPr>
            </w:pPr>
            <w:r w:rsidRPr="00556412">
              <w:rPr>
                <w:rFonts w:ascii="Times New Roman" w:eastAsia="Calibri" w:hAnsi="Times New Roman" w:cs="Times New Roman"/>
                <w:sz w:val="18"/>
                <w:szCs w:val="18"/>
              </w:rPr>
              <w:t>dhe 14</w:t>
            </w:r>
          </w:p>
        </w:tc>
        <w:tc>
          <w:tcPr>
            <w:tcW w:w="4964" w:type="dxa"/>
          </w:tcPr>
          <w:p w14:paraId="38AFC4FC" w14:textId="77777777" w:rsidR="00571FB3" w:rsidRPr="00556412" w:rsidRDefault="000C0746" w:rsidP="00556412">
            <w:pPr>
              <w:pStyle w:val="NormalWeb"/>
              <w:spacing w:before="100" w:beforeAutospacing="1" w:after="100" w:afterAutospacing="1" w:line="240" w:lineRule="atLeast"/>
              <w:jc w:val="center"/>
              <w:rPr>
                <w:b/>
                <w:sz w:val="18"/>
                <w:szCs w:val="18"/>
              </w:rPr>
            </w:pPr>
            <w:r w:rsidRPr="00556412">
              <w:rPr>
                <w:b/>
                <w:sz w:val="18"/>
                <w:szCs w:val="18"/>
              </w:rPr>
              <w:t>Neni 13</w:t>
            </w:r>
            <w:r w:rsidR="00571FB3" w:rsidRPr="00556412">
              <w:rPr>
                <w:b/>
                <w:sz w:val="18"/>
                <w:szCs w:val="18"/>
              </w:rPr>
              <w:t xml:space="preserve"> </w:t>
            </w:r>
          </w:p>
          <w:p w14:paraId="4CCF447E" w14:textId="4A24D8BB" w:rsidR="000C0746" w:rsidRPr="00556412" w:rsidRDefault="000C0746" w:rsidP="00556412">
            <w:pPr>
              <w:pStyle w:val="NormalWeb"/>
              <w:spacing w:before="100" w:beforeAutospacing="1" w:after="100" w:afterAutospacing="1" w:line="240" w:lineRule="atLeast"/>
              <w:jc w:val="center"/>
              <w:rPr>
                <w:b/>
                <w:sz w:val="18"/>
                <w:szCs w:val="18"/>
              </w:rPr>
            </w:pPr>
            <w:r w:rsidRPr="00556412">
              <w:rPr>
                <w:b/>
                <w:sz w:val="18"/>
                <w:szCs w:val="18"/>
              </w:rPr>
              <w:t>Aktet nënligjore dhe rregullat e zbatimit</w:t>
            </w:r>
          </w:p>
          <w:p w14:paraId="1C377F44" w14:textId="4AB20B79" w:rsidR="000C0746" w:rsidRPr="00556412" w:rsidRDefault="002163C3" w:rsidP="00556412">
            <w:pPr>
              <w:pStyle w:val="NormalWeb"/>
              <w:spacing w:before="100" w:beforeAutospacing="1" w:after="100" w:afterAutospacing="1" w:line="240" w:lineRule="atLeast"/>
              <w:ind w:left="720"/>
              <w:jc w:val="both"/>
              <w:rPr>
                <w:sz w:val="18"/>
                <w:szCs w:val="18"/>
              </w:rPr>
            </w:pPr>
            <w:r w:rsidRPr="00556412">
              <w:rPr>
                <w:sz w:val="18"/>
                <w:szCs w:val="18"/>
              </w:rPr>
              <w:t>N</w:t>
            </w:r>
            <w:r w:rsidR="000C0746" w:rsidRPr="00556412">
              <w:rPr>
                <w:sz w:val="18"/>
                <w:szCs w:val="18"/>
              </w:rPr>
              <w:t>garkohet</w:t>
            </w:r>
            <w:r w:rsidRPr="00556412">
              <w:rPr>
                <w:sz w:val="18"/>
                <w:szCs w:val="18"/>
              </w:rPr>
              <w:t xml:space="preserve"> Këshilli i Ministrave</w:t>
            </w:r>
            <w:r w:rsidR="000C0746" w:rsidRPr="00556412">
              <w:rPr>
                <w:sz w:val="18"/>
                <w:szCs w:val="18"/>
              </w:rPr>
              <w:t xml:space="preserve"> të nxjerrë </w:t>
            </w:r>
            <w:r w:rsidR="0052141B" w:rsidRPr="00556412">
              <w:rPr>
                <w:sz w:val="18"/>
                <w:szCs w:val="18"/>
              </w:rPr>
              <w:t xml:space="preserve">Vendim </w:t>
            </w:r>
            <w:r w:rsidR="000C0746" w:rsidRPr="00556412">
              <w:rPr>
                <w:sz w:val="18"/>
                <w:szCs w:val="18"/>
              </w:rPr>
              <w:t xml:space="preserve"> për zbatimin e këtij ligji brenda   gjashtë muajve nga hyrja e tij në fuqi.</w:t>
            </w:r>
          </w:p>
          <w:p w14:paraId="181A1B1D" w14:textId="77777777" w:rsidR="000C0746" w:rsidRPr="00556412" w:rsidRDefault="000C0746" w:rsidP="00556412">
            <w:pPr>
              <w:spacing w:line="240" w:lineRule="atLeast"/>
              <w:jc w:val="center"/>
              <w:rPr>
                <w:rFonts w:ascii="Times New Roman" w:hAnsi="Times New Roman" w:cs="Times New Roman"/>
                <w:b/>
                <w:sz w:val="18"/>
                <w:szCs w:val="18"/>
                <w:lang w:val="sq-AL"/>
              </w:rPr>
            </w:pPr>
          </w:p>
          <w:p w14:paraId="79ECB630" w14:textId="58FA7A6D" w:rsidR="00AE2F5E" w:rsidRPr="00556412" w:rsidRDefault="000C0746" w:rsidP="00556412">
            <w:pPr>
              <w:spacing w:line="240" w:lineRule="atLeast"/>
              <w:jc w:val="center"/>
              <w:rPr>
                <w:rFonts w:ascii="Times New Roman" w:hAnsi="Times New Roman" w:cs="Times New Roman"/>
                <w:b/>
                <w:sz w:val="18"/>
                <w:szCs w:val="18"/>
                <w:lang w:val="sq-AL"/>
              </w:rPr>
            </w:pPr>
            <w:r w:rsidRPr="00556412">
              <w:rPr>
                <w:rFonts w:ascii="Times New Roman" w:hAnsi="Times New Roman" w:cs="Times New Roman"/>
                <w:b/>
                <w:sz w:val="18"/>
                <w:szCs w:val="18"/>
                <w:lang w:val="sq-AL"/>
              </w:rPr>
              <w:t>Neni 14</w:t>
            </w:r>
          </w:p>
          <w:p w14:paraId="091636D8" w14:textId="77777777" w:rsidR="00AE2F5E" w:rsidRPr="00556412" w:rsidRDefault="00AE2F5E" w:rsidP="00556412">
            <w:pPr>
              <w:spacing w:line="240" w:lineRule="atLeast"/>
              <w:jc w:val="center"/>
              <w:rPr>
                <w:rFonts w:ascii="Times New Roman" w:hAnsi="Times New Roman" w:cs="Times New Roman"/>
                <w:sz w:val="18"/>
                <w:szCs w:val="18"/>
                <w:lang w:val="sq-AL"/>
              </w:rPr>
            </w:pPr>
            <w:r w:rsidRPr="00556412">
              <w:rPr>
                <w:rFonts w:ascii="Times New Roman" w:hAnsi="Times New Roman" w:cs="Times New Roman"/>
                <w:b/>
                <w:sz w:val="18"/>
                <w:szCs w:val="18"/>
                <w:lang w:val="sq-AL"/>
              </w:rPr>
              <w:t>Hyrja në fuqi dhe masat kalimtare</w:t>
            </w:r>
          </w:p>
          <w:p w14:paraId="3442A30F" w14:textId="77777777" w:rsidR="00AE2F5E" w:rsidRPr="00556412" w:rsidRDefault="00AE2F5E" w:rsidP="00556412">
            <w:pPr>
              <w:pStyle w:val="ListParagraph"/>
              <w:numPr>
                <w:ilvl w:val="0"/>
                <w:numId w:val="45"/>
              </w:numPr>
              <w:spacing w:line="240" w:lineRule="atLeast"/>
              <w:jc w:val="both"/>
              <w:rPr>
                <w:rFonts w:ascii="Times New Roman" w:hAnsi="Times New Roman" w:cs="Times New Roman"/>
                <w:sz w:val="18"/>
                <w:szCs w:val="18"/>
                <w:lang w:val="sq-AL"/>
              </w:rPr>
            </w:pPr>
            <w:r w:rsidRPr="00556412">
              <w:rPr>
                <w:rFonts w:ascii="Times New Roman" w:hAnsi="Times New Roman" w:cs="Times New Roman"/>
                <w:sz w:val="18"/>
                <w:szCs w:val="18"/>
                <w:lang w:val="sq-AL"/>
              </w:rPr>
              <w:t>Ky ligj hyn në fuqi 15 ditë pas botimit në Fletoren Zyrtare.</w:t>
            </w:r>
          </w:p>
          <w:p w14:paraId="11C31410" w14:textId="2EFD72F8" w:rsidR="00B46145" w:rsidRPr="00556412" w:rsidRDefault="00AE2F5E" w:rsidP="00556412">
            <w:pPr>
              <w:pStyle w:val="NormalWeb"/>
              <w:numPr>
                <w:ilvl w:val="0"/>
                <w:numId w:val="45"/>
              </w:numPr>
              <w:spacing w:before="100" w:beforeAutospacing="1" w:after="100" w:afterAutospacing="1" w:line="240" w:lineRule="atLeast"/>
              <w:jc w:val="both"/>
              <w:rPr>
                <w:sz w:val="18"/>
                <w:szCs w:val="18"/>
              </w:rPr>
            </w:pPr>
            <w:r w:rsidRPr="00556412">
              <w:rPr>
                <w:sz w:val="18"/>
                <w:szCs w:val="18"/>
              </w:rPr>
              <w:t xml:space="preserve">Efektet e këtij ligji </w:t>
            </w:r>
            <w:r w:rsidR="007D044B" w:rsidRPr="007D044B">
              <w:rPr>
                <w:sz w:val="18"/>
                <w:szCs w:val="18"/>
              </w:rPr>
              <w:t>fillojnë nga data e anëtarësimit të Republikës së Shqipërisë në Bashkimin Evropian</w:t>
            </w:r>
            <w:r w:rsidRPr="00556412">
              <w:rPr>
                <w:sz w:val="18"/>
                <w:szCs w:val="18"/>
              </w:rPr>
              <w:t>.</w:t>
            </w:r>
          </w:p>
        </w:tc>
        <w:tc>
          <w:tcPr>
            <w:tcW w:w="976" w:type="dxa"/>
          </w:tcPr>
          <w:p w14:paraId="03E55700" w14:textId="55E2473D" w:rsidR="00B46145" w:rsidRPr="00556412" w:rsidRDefault="00AE2F5E" w:rsidP="00556412">
            <w:pPr>
              <w:spacing w:line="240" w:lineRule="atLeast"/>
              <w:jc w:val="center"/>
              <w:rPr>
                <w:rFonts w:ascii="Times New Roman" w:eastAsia="Calibri" w:hAnsi="Times New Roman" w:cs="Times New Roman"/>
                <w:sz w:val="18"/>
                <w:szCs w:val="18"/>
              </w:rPr>
            </w:pPr>
            <w:r w:rsidRPr="00556412">
              <w:rPr>
                <w:rFonts w:ascii="Times New Roman" w:eastAsia="Calibri" w:hAnsi="Times New Roman" w:cs="Times New Roman"/>
                <w:sz w:val="18"/>
                <w:szCs w:val="18"/>
              </w:rPr>
              <w:t>F</w:t>
            </w:r>
          </w:p>
        </w:tc>
        <w:tc>
          <w:tcPr>
            <w:tcW w:w="3150" w:type="dxa"/>
          </w:tcPr>
          <w:p w14:paraId="10473C6C" w14:textId="7ED476B1" w:rsidR="00B46145" w:rsidRPr="00556412" w:rsidRDefault="00B46145" w:rsidP="00556412">
            <w:pPr>
              <w:spacing w:line="240" w:lineRule="atLeast"/>
              <w:rPr>
                <w:rFonts w:ascii="Times New Roman" w:eastAsia="Calibri" w:hAnsi="Times New Roman" w:cs="Times New Roman"/>
                <w:sz w:val="18"/>
                <w:szCs w:val="18"/>
              </w:rPr>
            </w:pPr>
          </w:p>
        </w:tc>
      </w:tr>
      <w:tr w:rsidR="00B46145" w:rsidRPr="001566F3" w14:paraId="380D92EC" w14:textId="77777777" w:rsidTr="003C3604">
        <w:trPr>
          <w:trHeight w:val="2204"/>
        </w:trPr>
        <w:tc>
          <w:tcPr>
            <w:tcW w:w="540" w:type="dxa"/>
          </w:tcPr>
          <w:p w14:paraId="758B545D" w14:textId="77777777" w:rsidR="00B46145" w:rsidRPr="00556412" w:rsidRDefault="00B46145" w:rsidP="00556412">
            <w:pPr>
              <w:spacing w:line="240" w:lineRule="atLeast"/>
              <w:jc w:val="both"/>
              <w:rPr>
                <w:rFonts w:ascii="Times New Roman" w:eastAsia="Calibri" w:hAnsi="Times New Roman" w:cs="Times New Roman"/>
                <w:sz w:val="18"/>
                <w:szCs w:val="18"/>
              </w:rPr>
            </w:pPr>
          </w:p>
        </w:tc>
        <w:tc>
          <w:tcPr>
            <w:tcW w:w="5400" w:type="dxa"/>
          </w:tcPr>
          <w:p w14:paraId="2733D3C2" w14:textId="0E272EEF" w:rsidR="00B46145" w:rsidRPr="00556412" w:rsidRDefault="00DD2655" w:rsidP="00556412">
            <w:pPr>
              <w:spacing w:line="240" w:lineRule="atLeast"/>
              <w:jc w:val="center"/>
              <w:rPr>
                <w:rFonts w:ascii="Times New Roman" w:eastAsia="Calibri" w:hAnsi="Times New Roman" w:cs="Times New Roman"/>
                <w:b/>
                <w:iCs/>
                <w:sz w:val="18"/>
                <w:szCs w:val="18"/>
              </w:rPr>
            </w:pPr>
            <w:r w:rsidRPr="00556412">
              <w:rPr>
                <w:rFonts w:ascii="Times New Roman" w:eastAsia="Calibri" w:hAnsi="Times New Roman" w:cs="Times New Roman"/>
                <w:b/>
                <w:iCs/>
                <w:sz w:val="18"/>
                <w:szCs w:val="18"/>
              </w:rPr>
              <w:t>Neni</w:t>
            </w:r>
            <w:r w:rsidR="00B46145" w:rsidRPr="00556412">
              <w:rPr>
                <w:rFonts w:ascii="Times New Roman" w:eastAsia="Calibri" w:hAnsi="Times New Roman" w:cs="Times New Roman"/>
                <w:b/>
                <w:iCs/>
                <w:sz w:val="18"/>
                <w:szCs w:val="18"/>
              </w:rPr>
              <w:t xml:space="preserve"> 4</w:t>
            </w:r>
          </w:p>
          <w:p w14:paraId="0A4F7AAB" w14:textId="77777777" w:rsidR="00B46145" w:rsidRPr="00556412" w:rsidRDefault="00B46145" w:rsidP="00556412">
            <w:pPr>
              <w:spacing w:line="240" w:lineRule="atLeast"/>
              <w:jc w:val="center"/>
              <w:rPr>
                <w:rFonts w:ascii="Times New Roman" w:eastAsia="Calibri" w:hAnsi="Times New Roman" w:cs="Times New Roman"/>
                <w:b/>
                <w:iCs/>
                <w:sz w:val="18"/>
                <w:szCs w:val="18"/>
              </w:rPr>
            </w:pPr>
          </w:p>
          <w:p w14:paraId="0717C52E" w14:textId="77777777" w:rsidR="00075CEE" w:rsidRPr="00556412" w:rsidRDefault="00075CEE" w:rsidP="00556412">
            <w:pPr>
              <w:spacing w:line="240" w:lineRule="atLeast"/>
              <w:rPr>
                <w:rFonts w:ascii="Times New Roman" w:eastAsia="Times New Roman" w:hAnsi="Times New Roman" w:cs="Times New Roman"/>
                <w:sz w:val="18"/>
                <w:szCs w:val="18"/>
              </w:rPr>
            </w:pPr>
            <w:r w:rsidRPr="00556412">
              <w:rPr>
                <w:rFonts w:ascii="Times New Roman" w:eastAsia="Times New Roman" w:hAnsi="Times New Roman" w:cs="Times New Roman"/>
                <w:sz w:val="18"/>
                <w:szCs w:val="18"/>
              </w:rPr>
              <w:t>Kjo Direktivë u drejtohet shteteve anëtare.</w:t>
            </w:r>
          </w:p>
          <w:p w14:paraId="7D307B8D" w14:textId="10994375" w:rsidR="00B46145" w:rsidRPr="00556412" w:rsidRDefault="00B46145" w:rsidP="00556412">
            <w:pPr>
              <w:spacing w:line="240" w:lineRule="atLeast"/>
              <w:jc w:val="both"/>
              <w:rPr>
                <w:rFonts w:ascii="Times New Roman" w:eastAsia="Calibri" w:hAnsi="Times New Roman" w:cs="Times New Roman"/>
                <w:iCs/>
                <w:sz w:val="18"/>
                <w:szCs w:val="18"/>
              </w:rPr>
            </w:pPr>
          </w:p>
        </w:tc>
        <w:tc>
          <w:tcPr>
            <w:tcW w:w="540" w:type="dxa"/>
          </w:tcPr>
          <w:p w14:paraId="4800D585" w14:textId="77777777" w:rsidR="00B46145" w:rsidRPr="00556412" w:rsidRDefault="00B46145" w:rsidP="00556412">
            <w:pPr>
              <w:spacing w:line="240" w:lineRule="atLeast"/>
              <w:jc w:val="center"/>
              <w:rPr>
                <w:rFonts w:ascii="Times New Roman" w:eastAsia="Calibri" w:hAnsi="Times New Roman" w:cs="Times New Roman"/>
                <w:sz w:val="18"/>
                <w:szCs w:val="18"/>
                <w:highlight w:val="cyan"/>
              </w:rPr>
            </w:pPr>
          </w:p>
        </w:tc>
        <w:tc>
          <w:tcPr>
            <w:tcW w:w="630" w:type="dxa"/>
          </w:tcPr>
          <w:p w14:paraId="630C2E8C" w14:textId="4516AABE" w:rsidR="00B46145" w:rsidRPr="00556412" w:rsidRDefault="00075E79" w:rsidP="00556412">
            <w:pPr>
              <w:spacing w:line="240" w:lineRule="atLeast"/>
              <w:jc w:val="center"/>
              <w:rPr>
                <w:rFonts w:ascii="Times New Roman" w:eastAsia="Calibri" w:hAnsi="Times New Roman" w:cs="Times New Roman"/>
                <w:sz w:val="18"/>
                <w:szCs w:val="18"/>
                <w:highlight w:val="cyan"/>
              </w:rPr>
            </w:pPr>
            <w:r w:rsidRPr="00556412">
              <w:rPr>
                <w:rFonts w:ascii="Times New Roman" w:eastAsia="Calibri" w:hAnsi="Times New Roman" w:cs="Times New Roman"/>
                <w:sz w:val="18"/>
                <w:szCs w:val="18"/>
              </w:rPr>
              <w:t>N/A</w:t>
            </w:r>
          </w:p>
        </w:tc>
        <w:tc>
          <w:tcPr>
            <w:tcW w:w="4964" w:type="dxa"/>
          </w:tcPr>
          <w:p w14:paraId="6562ABE4" w14:textId="700CA43D" w:rsidR="00B46145" w:rsidRPr="00556412" w:rsidRDefault="00075E79" w:rsidP="00556412">
            <w:pPr>
              <w:spacing w:line="240" w:lineRule="atLeast"/>
              <w:jc w:val="center"/>
              <w:rPr>
                <w:rFonts w:ascii="Times New Roman" w:hAnsi="Times New Roman" w:cs="Times New Roman"/>
                <w:sz w:val="18"/>
                <w:szCs w:val="18"/>
              </w:rPr>
            </w:pPr>
            <w:r w:rsidRPr="00556412">
              <w:rPr>
                <w:rFonts w:ascii="Times New Roman" w:hAnsi="Times New Roman" w:cs="Times New Roman"/>
                <w:sz w:val="18"/>
                <w:szCs w:val="18"/>
              </w:rPr>
              <w:t>N/A</w:t>
            </w:r>
          </w:p>
        </w:tc>
        <w:tc>
          <w:tcPr>
            <w:tcW w:w="976" w:type="dxa"/>
          </w:tcPr>
          <w:p w14:paraId="15692D69" w14:textId="159E4E14" w:rsidR="00B46145" w:rsidRPr="00556412" w:rsidRDefault="00075E79" w:rsidP="00556412">
            <w:pPr>
              <w:spacing w:line="240" w:lineRule="atLeast"/>
              <w:jc w:val="center"/>
              <w:rPr>
                <w:rFonts w:ascii="Times New Roman" w:eastAsia="Calibri" w:hAnsi="Times New Roman" w:cs="Times New Roman"/>
                <w:sz w:val="18"/>
                <w:szCs w:val="18"/>
              </w:rPr>
            </w:pPr>
            <w:r w:rsidRPr="00556412">
              <w:rPr>
                <w:rFonts w:ascii="Times New Roman" w:eastAsia="Calibri" w:hAnsi="Times New Roman" w:cs="Times New Roman"/>
                <w:sz w:val="18"/>
                <w:szCs w:val="18"/>
              </w:rPr>
              <w:t>N/A</w:t>
            </w:r>
          </w:p>
        </w:tc>
        <w:tc>
          <w:tcPr>
            <w:tcW w:w="3150" w:type="dxa"/>
          </w:tcPr>
          <w:p w14:paraId="7EFFD7FA" w14:textId="22895187" w:rsidR="00B46145" w:rsidRPr="00556412" w:rsidRDefault="00075E79" w:rsidP="00556412">
            <w:pPr>
              <w:spacing w:line="240" w:lineRule="atLeast"/>
              <w:jc w:val="both"/>
              <w:rPr>
                <w:rFonts w:ascii="Times New Roman" w:eastAsia="Calibri" w:hAnsi="Times New Roman" w:cs="Times New Roman"/>
                <w:sz w:val="18"/>
                <w:szCs w:val="18"/>
              </w:rPr>
            </w:pPr>
            <w:r w:rsidRPr="00556412">
              <w:rPr>
                <w:rFonts w:ascii="Times New Roman" w:eastAsia="Calibri" w:hAnsi="Times New Roman" w:cs="Times New Roman"/>
                <w:sz w:val="18"/>
                <w:szCs w:val="18"/>
              </w:rPr>
              <w:t>Nuk k</w:t>
            </w:r>
            <w:r w:rsidR="00075CEE" w:rsidRPr="00556412">
              <w:rPr>
                <w:rFonts w:ascii="Times New Roman" w:eastAsia="Calibri" w:hAnsi="Times New Roman" w:cs="Times New Roman"/>
                <w:sz w:val="18"/>
                <w:szCs w:val="18"/>
              </w:rPr>
              <w:t>ë</w:t>
            </w:r>
            <w:r w:rsidRPr="00556412">
              <w:rPr>
                <w:rFonts w:ascii="Times New Roman" w:eastAsia="Calibri" w:hAnsi="Times New Roman" w:cs="Times New Roman"/>
                <w:sz w:val="18"/>
                <w:szCs w:val="18"/>
              </w:rPr>
              <w:t xml:space="preserve">rkon transpozim, </w:t>
            </w:r>
            <w:r w:rsidR="00075CEE" w:rsidRPr="00556412">
              <w:rPr>
                <w:rFonts w:ascii="Times New Roman" w:eastAsia="Calibri" w:hAnsi="Times New Roman" w:cs="Times New Roman"/>
                <w:sz w:val="18"/>
                <w:szCs w:val="18"/>
              </w:rPr>
              <w:t>ë</w:t>
            </w:r>
            <w:r w:rsidRPr="00556412">
              <w:rPr>
                <w:rFonts w:ascii="Times New Roman" w:eastAsia="Calibri" w:hAnsi="Times New Roman" w:cs="Times New Roman"/>
                <w:sz w:val="18"/>
                <w:szCs w:val="18"/>
              </w:rPr>
              <w:t>sht</w:t>
            </w:r>
            <w:r w:rsidR="00075CEE" w:rsidRPr="00556412">
              <w:rPr>
                <w:rFonts w:ascii="Times New Roman" w:eastAsia="Calibri" w:hAnsi="Times New Roman" w:cs="Times New Roman"/>
                <w:sz w:val="18"/>
                <w:szCs w:val="18"/>
              </w:rPr>
              <w:t>ë</w:t>
            </w:r>
            <w:r w:rsidRPr="00556412">
              <w:rPr>
                <w:rFonts w:ascii="Times New Roman" w:eastAsia="Calibri" w:hAnsi="Times New Roman" w:cs="Times New Roman"/>
                <w:sz w:val="18"/>
                <w:szCs w:val="18"/>
              </w:rPr>
              <w:t xml:space="preserve"> parashikim detyrues q</w:t>
            </w:r>
            <w:r w:rsidR="00075CEE" w:rsidRPr="00556412">
              <w:rPr>
                <w:rFonts w:ascii="Times New Roman" w:eastAsia="Calibri" w:hAnsi="Times New Roman" w:cs="Times New Roman"/>
                <w:sz w:val="18"/>
                <w:szCs w:val="18"/>
              </w:rPr>
              <w:t>ë</w:t>
            </w:r>
            <w:r w:rsidRPr="00556412">
              <w:rPr>
                <w:rFonts w:ascii="Times New Roman" w:eastAsia="Calibri" w:hAnsi="Times New Roman" w:cs="Times New Roman"/>
                <w:sz w:val="18"/>
                <w:szCs w:val="18"/>
              </w:rPr>
              <w:t xml:space="preserve"> i adresohet shteteve an</w:t>
            </w:r>
            <w:r w:rsidR="00075CEE" w:rsidRPr="00556412">
              <w:rPr>
                <w:rFonts w:ascii="Times New Roman" w:eastAsia="Calibri" w:hAnsi="Times New Roman" w:cs="Times New Roman"/>
                <w:sz w:val="18"/>
                <w:szCs w:val="18"/>
              </w:rPr>
              <w:t>ë</w:t>
            </w:r>
            <w:r w:rsidRPr="00556412">
              <w:rPr>
                <w:rFonts w:ascii="Times New Roman" w:eastAsia="Calibri" w:hAnsi="Times New Roman" w:cs="Times New Roman"/>
                <w:sz w:val="18"/>
                <w:szCs w:val="18"/>
              </w:rPr>
              <w:t>tare</w:t>
            </w:r>
            <w:r w:rsidR="00075CEE" w:rsidRPr="00556412">
              <w:rPr>
                <w:rFonts w:ascii="Times New Roman" w:eastAsia="Calibri" w:hAnsi="Times New Roman" w:cs="Times New Roman"/>
                <w:sz w:val="18"/>
                <w:szCs w:val="18"/>
              </w:rPr>
              <w:t>.</w:t>
            </w:r>
          </w:p>
        </w:tc>
      </w:tr>
    </w:tbl>
    <w:p w14:paraId="4E2D4073" w14:textId="77777777" w:rsidR="009A20F7" w:rsidRPr="00EA27C8" w:rsidRDefault="009A20F7" w:rsidP="00E172D2">
      <w:pPr>
        <w:spacing w:line="240" w:lineRule="auto"/>
        <w:rPr>
          <w:rFonts w:ascii="Times New Roman" w:hAnsi="Times New Roman" w:cs="Times New Roman"/>
          <w:sz w:val="18"/>
          <w:szCs w:val="18"/>
          <w:lang w:val="ro-RO"/>
        </w:rPr>
      </w:pPr>
    </w:p>
    <w:sectPr w:rsidR="009A20F7" w:rsidRPr="00EA27C8" w:rsidSect="003F6C69">
      <w:footerReference w:type="default" r:id="rId8"/>
      <w:pgSz w:w="16838" w:h="11906" w:orient="landscape"/>
      <w:pgMar w:top="1701" w:right="1418" w:bottom="113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9E8BF" w14:textId="77777777" w:rsidR="00D60666" w:rsidRDefault="00D60666" w:rsidP="00922FEB">
      <w:pPr>
        <w:spacing w:after="0" w:line="240" w:lineRule="auto"/>
      </w:pPr>
      <w:r>
        <w:separator/>
      </w:r>
    </w:p>
  </w:endnote>
  <w:endnote w:type="continuationSeparator" w:id="0">
    <w:p w14:paraId="17856FED" w14:textId="77777777" w:rsidR="00D60666" w:rsidRDefault="00D60666" w:rsidP="00922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531F5" w14:textId="3C96E1CE" w:rsidR="00765071" w:rsidRDefault="00765071">
    <w:pPr>
      <w:pStyle w:val="Footer"/>
    </w:pPr>
    <w:r>
      <w:fldChar w:fldCharType="begin"/>
    </w:r>
    <w:r>
      <w:instrText>PAGE   \* MERGEFORMAT</w:instrText>
    </w:r>
    <w:r>
      <w:fldChar w:fldCharType="separate"/>
    </w:r>
    <w:r w:rsidR="00995ED0" w:rsidRPr="00995ED0">
      <w:rPr>
        <w:noProof/>
        <w:lang w:val="sq-AL"/>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7F6D1" w14:textId="77777777" w:rsidR="00D60666" w:rsidRDefault="00D60666" w:rsidP="00922FEB">
      <w:pPr>
        <w:spacing w:after="0" w:line="240" w:lineRule="auto"/>
      </w:pPr>
      <w:r>
        <w:separator/>
      </w:r>
    </w:p>
  </w:footnote>
  <w:footnote w:type="continuationSeparator" w:id="0">
    <w:p w14:paraId="610C0CA2" w14:textId="77777777" w:rsidR="00D60666" w:rsidRDefault="00D60666" w:rsidP="00922F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45DE"/>
    <w:multiLevelType w:val="multilevel"/>
    <w:tmpl w:val="20547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4E53AE"/>
    <w:multiLevelType w:val="hybridMultilevel"/>
    <w:tmpl w:val="CDC8FEA6"/>
    <w:lvl w:ilvl="0" w:tplc="04090017">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907770C"/>
    <w:multiLevelType w:val="multilevel"/>
    <w:tmpl w:val="976A2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3D6851"/>
    <w:multiLevelType w:val="hybridMultilevel"/>
    <w:tmpl w:val="75E2E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C47AD"/>
    <w:multiLevelType w:val="multilevel"/>
    <w:tmpl w:val="6A56F9D4"/>
    <w:lvl w:ilvl="0">
      <w:start w:val="1"/>
      <w:numFmt w:val="decimal"/>
      <w:lvlText w:val="%1."/>
      <w:lvlJc w:val="left"/>
      <w:pPr>
        <w:tabs>
          <w:tab w:val="num" w:pos="360"/>
        </w:tabs>
        <w:ind w:left="360" w:hanging="360"/>
      </w:pPr>
    </w:lvl>
    <w:lvl w:ilvl="1">
      <w:start w:val="1"/>
      <w:numFmt w:val="lowerLetter"/>
      <w:lvlText w:val="%2)"/>
      <w:lvlJc w:val="left"/>
      <w:pPr>
        <w:ind w:left="1080" w:hanging="360"/>
      </w:pPr>
      <w:rPr>
        <w:rFonts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11CC68FA"/>
    <w:multiLevelType w:val="hybridMultilevel"/>
    <w:tmpl w:val="28583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C71417"/>
    <w:multiLevelType w:val="hybridMultilevel"/>
    <w:tmpl w:val="C65EA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241AEB"/>
    <w:multiLevelType w:val="multilevel"/>
    <w:tmpl w:val="6A56F9D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5B4341"/>
    <w:multiLevelType w:val="multilevel"/>
    <w:tmpl w:val="AA8EB7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9627B8"/>
    <w:multiLevelType w:val="multilevel"/>
    <w:tmpl w:val="E0D253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7C4DF1"/>
    <w:multiLevelType w:val="hybridMultilevel"/>
    <w:tmpl w:val="2148252C"/>
    <w:lvl w:ilvl="0" w:tplc="9A72A0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A37726"/>
    <w:multiLevelType w:val="hybridMultilevel"/>
    <w:tmpl w:val="BB7C3B9A"/>
    <w:lvl w:ilvl="0" w:tplc="1048FB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CB5F50"/>
    <w:multiLevelType w:val="hybridMultilevel"/>
    <w:tmpl w:val="8FEA6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640018"/>
    <w:multiLevelType w:val="hybridMultilevel"/>
    <w:tmpl w:val="98D484FE"/>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4" w15:restartNumberingAfterBreak="0">
    <w:nsid w:val="3316080A"/>
    <w:multiLevelType w:val="multilevel"/>
    <w:tmpl w:val="3CAE58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39E248B9"/>
    <w:multiLevelType w:val="hybridMultilevel"/>
    <w:tmpl w:val="8E6895DA"/>
    <w:lvl w:ilvl="0" w:tplc="5358B10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3A60B4"/>
    <w:multiLevelType w:val="hybridMultilevel"/>
    <w:tmpl w:val="1A40880C"/>
    <w:lvl w:ilvl="0" w:tplc="858A5F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FDF13A7"/>
    <w:multiLevelType w:val="hybridMultilevel"/>
    <w:tmpl w:val="CC60094E"/>
    <w:lvl w:ilvl="0" w:tplc="E836E3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187E35"/>
    <w:multiLevelType w:val="hybridMultilevel"/>
    <w:tmpl w:val="277E5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200874"/>
    <w:multiLevelType w:val="multilevel"/>
    <w:tmpl w:val="E20684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4ADD4944"/>
    <w:multiLevelType w:val="multilevel"/>
    <w:tmpl w:val="44CA6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F652D6"/>
    <w:multiLevelType w:val="hybridMultilevel"/>
    <w:tmpl w:val="E7C86058"/>
    <w:lvl w:ilvl="0" w:tplc="5AF83B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156A6A"/>
    <w:multiLevelType w:val="multilevel"/>
    <w:tmpl w:val="3FC02E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03A0C3C"/>
    <w:multiLevelType w:val="hybridMultilevel"/>
    <w:tmpl w:val="BDA02102"/>
    <w:lvl w:ilvl="0" w:tplc="7986A9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8737BA"/>
    <w:multiLevelType w:val="hybridMultilevel"/>
    <w:tmpl w:val="99921C8C"/>
    <w:lvl w:ilvl="0" w:tplc="4BA09B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954E9B"/>
    <w:multiLevelType w:val="multilevel"/>
    <w:tmpl w:val="AE9E73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56C04AA1"/>
    <w:multiLevelType w:val="hybridMultilevel"/>
    <w:tmpl w:val="E998FFBA"/>
    <w:lvl w:ilvl="0" w:tplc="F0AE06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A7E5137"/>
    <w:multiLevelType w:val="multilevel"/>
    <w:tmpl w:val="F202F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11227F"/>
    <w:multiLevelType w:val="hybridMultilevel"/>
    <w:tmpl w:val="ABE049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EA940E1"/>
    <w:multiLevelType w:val="hybridMultilevel"/>
    <w:tmpl w:val="CD061C0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0" w15:restartNumberingAfterBreak="0">
    <w:nsid w:val="5F632B0E"/>
    <w:multiLevelType w:val="hybridMultilevel"/>
    <w:tmpl w:val="E6C01AB8"/>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1" w15:restartNumberingAfterBreak="0">
    <w:nsid w:val="640A1C5B"/>
    <w:multiLevelType w:val="multilevel"/>
    <w:tmpl w:val="0D9A2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A04D4F"/>
    <w:multiLevelType w:val="multilevel"/>
    <w:tmpl w:val="448E4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6C3C4E"/>
    <w:multiLevelType w:val="multilevel"/>
    <w:tmpl w:val="59F8ED8A"/>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15:restartNumberingAfterBreak="0">
    <w:nsid w:val="690A7DE3"/>
    <w:multiLevelType w:val="hybridMultilevel"/>
    <w:tmpl w:val="C51A249A"/>
    <w:lvl w:ilvl="0" w:tplc="9D8C93AC">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3B219E"/>
    <w:multiLevelType w:val="hybridMultilevel"/>
    <w:tmpl w:val="AE965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5566C7"/>
    <w:multiLevelType w:val="hybridMultilevel"/>
    <w:tmpl w:val="59A0D8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FE1F7F"/>
    <w:multiLevelType w:val="hybridMultilevel"/>
    <w:tmpl w:val="57C827EE"/>
    <w:lvl w:ilvl="0" w:tplc="5A222E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553238"/>
    <w:multiLevelType w:val="multilevel"/>
    <w:tmpl w:val="75C8EC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9C2E4F"/>
    <w:multiLevelType w:val="hybridMultilevel"/>
    <w:tmpl w:val="73FE4EF4"/>
    <w:lvl w:ilvl="0" w:tplc="0409000F">
      <w:start w:val="1"/>
      <w:numFmt w:val="decimal"/>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0" w15:restartNumberingAfterBreak="0">
    <w:nsid w:val="6F0B4367"/>
    <w:multiLevelType w:val="hybridMultilevel"/>
    <w:tmpl w:val="CCC06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610B7D"/>
    <w:multiLevelType w:val="hybridMultilevel"/>
    <w:tmpl w:val="F676D7CC"/>
    <w:lvl w:ilvl="0" w:tplc="C7DCC9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4106A4"/>
    <w:multiLevelType w:val="multilevel"/>
    <w:tmpl w:val="DE761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5AF0D54"/>
    <w:multiLevelType w:val="multilevel"/>
    <w:tmpl w:val="DF0A1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6F14B0E"/>
    <w:multiLevelType w:val="hybridMultilevel"/>
    <w:tmpl w:val="210A091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71D6A2C"/>
    <w:multiLevelType w:val="multilevel"/>
    <w:tmpl w:val="CEA04A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78A76F66"/>
    <w:multiLevelType w:val="multilevel"/>
    <w:tmpl w:val="FC0ABB8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9F91119"/>
    <w:multiLevelType w:val="multilevel"/>
    <w:tmpl w:val="223478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B2053F3"/>
    <w:multiLevelType w:val="multilevel"/>
    <w:tmpl w:val="B4908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1872229">
    <w:abstractNumId w:val="36"/>
  </w:num>
  <w:num w:numId="2" w16cid:durableId="960845792">
    <w:abstractNumId w:val="3"/>
  </w:num>
  <w:num w:numId="3" w16cid:durableId="2088990111">
    <w:abstractNumId w:val="34"/>
  </w:num>
  <w:num w:numId="4" w16cid:durableId="1375351822">
    <w:abstractNumId w:val="7"/>
  </w:num>
  <w:num w:numId="5" w16cid:durableId="534847669">
    <w:abstractNumId w:val="30"/>
  </w:num>
  <w:num w:numId="6" w16cid:durableId="892354959">
    <w:abstractNumId w:val="14"/>
  </w:num>
  <w:num w:numId="7" w16cid:durableId="493452114">
    <w:abstractNumId w:val="20"/>
  </w:num>
  <w:num w:numId="8" w16cid:durableId="1489446298">
    <w:abstractNumId w:val="42"/>
  </w:num>
  <w:num w:numId="9" w16cid:durableId="1128281120">
    <w:abstractNumId w:val="13"/>
  </w:num>
  <w:num w:numId="10" w16cid:durableId="1542983756">
    <w:abstractNumId w:val="38"/>
  </w:num>
  <w:num w:numId="11" w16cid:durableId="751585974">
    <w:abstractNumId w:val="33"/>
  </w:num>
  <w:num w:numId="12" w16cid:durableId="271937597">
    <w:abstractNumId w:val="4"/>
  </w:num>
  <w:num w:numId="13" w16cid:durableId="803426887">
    <w:abstractNumId w:val="32"/>
  </w:num>
  <w:num w:numId="14" w16cid:durableId="1841919194">
    <w:abstractNumId w:val="22"/>
  </w:num>
  <w:num w:numId="15" w16cid:durableId="2063210240">
    <w:abstractNumId w:val="45"/>
  </w:num>
  <w:num w:numId="16" w16cid:durableId="997272092">
    <w:abstractNumId w:val="5"/>
  </w:num>
  <w:num w:numId="17" w16cid:durableId="1409156460">
    <w:abstractNumId w:val="25"/>
  </w:num>
  <w:num w:numId="18" w16cid:durableId="4161737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28749887">
    <w:abstractNumId w:val="39"/>
  </w:num>
  <w:num w:numId="20" w16cid:durableId="112866697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75128316">
    <w:abstractNumId w:val="43"/>
  </w:num>
  <w:num w:numId="22" w16cid:durableId="1226792127">
    <w:abstractNumId w:val="1"/>
  </w:num>
  <w:num w:numId="23" w16cid:durableId="359087301">
    <w:abstractNumId w:val="47"/>
  </w:num>
  <w:num w:numId="24" w16cid:durableId="214241772">
    <w:abstractNumId w:val="27"/>
  </w:num>
  <w:num w:numId="25" w16cid:durableId="125511770">
    <w:abstractNumId w:val="0"/>
  </w:num>
  <w:num w:numId="26" w16cid:durableId="135413644">
    <w:abstractNumId w:val="8"/>
  </w:num>
  <w:num w:numId="27" w16cid:durableId="1993673514">
    <w:abstractNumId w:val="9"/>
  </w:num>
  <w:num w:numId="28" w16cid:durableId="718819730">
    <w:abstractNumId w:val="46"/>
  </w:num>
  <w:num w:numId="29" w16cid:durableId="1480806044">
    <w:abstractNumId w:val="23"/>
  </w:num>
  <w:num w:numId="30" w16cid:durableId="2142384546">
    <w:abstractNumId w:val="29"/>
  </w:num>
  <w:num w:numId="31" w16cid:durableId="1089154697">
    <w:abstractNumId w:val="2"/>
  </w:num>
  <w:num w:numId="32" w16cid:durableId="1460950175">
    <w:abstractNumId w:val="48"/>
  </w:num>
  <w:num w:numId="33" w16cid:durableId="1174033645">
    <w:abstractNumId w:val="16"/>
  </w:num>
  <w:num w:numId="34" w16cid:durableId="1571190013">
    <w:abstractNumId w:val="37"/>
  </w:num>
  <w:num w:numId="35" w16cid:durableId="1018048607">
    <w:abstractNumId w:val="17"/>
  </w:num>
  <w:num w:numId="36" w16cid:durableId="1843814475">
    <w:abstractNumId w:val="11"/>
  </w:num>
  <w:num w:numId="37" w16cid:durableId="129330251">
    <w:abstractNumId w:val="10"/>
  </w:num>
  <w:num w:numId="38" w16cid:durableId="944505016">
    <w:abstractNumId w:val="41"/>
  </w:num>
  <w:num w:numId="39" w16cid:durableId="1045986240">
    <w:abstractNumId w:val="24"/>
  </w:num>
  <w:num w:numId="40" w16cid:durableId="4602119">
    <w:abstractNumId w:val="21"/>
  </w:num>
  <w:num w:numId="41" w16cid:durableId="59120440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13138525">
    <w:abstractNumId w:val="26"/>
  </w:num>
  <w:num w:numId="43" w16cid:durableId="1436630622">
    <w:abstractNumId w:val="6"/>
  </w:num>
  <w:num w:numId="44" w16cid:durableId="832913044">
    <w:abstractNumId w:val="31"/>
  </w:num>
  <w:num w:numId="45" w16cid:durableId="1357652592">
    <w:abstractNumId w:val="18"/>
  </w:num>
  <w:num w:numId="46" w16cid:durableId="2009864544">
    <w:abstractNumId w:val="40"/>
  </w:num>
  <w:num w:numId="47" w16cid:durableId="277102975">
    <w:abstractNumId w:val="35"/>
  </w:num>
  <w:num w:numId="48" w16cid:durableId="1492721622">
    <w:abstractNumId w:val="12"/>
  </w:num>
  <w:num w:numId="49" w16cid:durableId="1305699166">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7FB"/>
    <w:rsid w:val="000144FB"/>
    <w:rsid w:val="00015086"/>
    <w:rsid w:val="0001604D"/>
    <w:rsid w:val="00016C4D"/>
    <w:rsid w:val="00017CC1"/>
    <w:rsid w:val="00020AE3"/>
    <w:rsid w:val="00026CC0"/>
    <w:rsid w:val="000339C8"/>
    <w:rsid w:val="00034129"/>
    <w:rsid w:val="00036F88"/>
    <w:rsid w:val="00037679"/>
    <w:rsid w:val="00052607"/>
    <w:rsid w:val="00052664"/>
    <w:rsid w:val="00053923"/>
    <w:rsid w:val="00062524"/>
    <w:rsid w:val="00065705"/>
    <w:rsid w:val="00075318"/>
    <w:rsid w:val="00075CEE"/>
    <w:rsid w:val="00075E79"/>
    <w:rsid w:val="00076B31"/>
    <w:rsid w:val="00077A9A"/>
    <w:rsid w:val="00080E02"/>
    <w:rsid w:val="00081BC1"/>
    <w:rsid w:val="00082EBC"/>
    <w:rsid w:val="00084CAC"/>
    <w:rsid w:val="000916B6"/>
    <w:rsid w:val="00092CAE"/>
    <w:rsid w:val="00093110"/>
    <w:rsid w:val="000957A0"/>
    <w:rsid w:val="00095ECC"/>
    <w:rsid w:val="000A1939"/>
    <w:rsid w:val="000A26EF"/>
    <w:rsid w:val="000A38FB"/>
    <w:rsid w:val="000A65F2"/>
    <w:rsid w:val="000A7EA3"/>
    <w:rsid w:val="000B014A"/>
    <w:rsid w:val="000B05B4"/>
    <w:rsid w:val="000B1124"/>
    <w:rsid w:val="000B162F"/>
    <w:rsid w:val="000B190A"/>
    <w:rsid w:val="000B19FC"/>
    <w:rsid w:val="000B4CF9"/>
    <w:rsid w:val="000B5E85"/>
    <w:rsid w:val="000C0746"/>
    <w:rsid w:val="000C09CF"/>
    <w:rsid w:val="000C227B"/>
    <w:rsid w:val="000C4C00"/>
    <w:rsid w:val="000D0E76"/>
    <w:rsid w:val="000D4CD0"/>
    <w:rsid w:val="000D6E38"/>
    <w:rsid w:val="000D77FB"/>
    <w:rsid w:val="000D7CA4"/>
    <w:rsid w:val="000D7DCD"/>
    <w:rsid w:val="000E0147"/>
    <w:rsid w:val="000E1010"/>
    <w:rsid w:val="000E2BC3"/>
    <w:rsid w:val="000E4DE0"/>
    <w:rsid w:val="000E5AC4"/>
    <w:rsid w:val="000E668E"/>
    <w:rsid w:val="001024E6"/>
    <w:rsid w:val="00106912"/>
    <w:rsid w:val="0010722F"/>
    <w:rsid w:val="0010735E"/>
    <w:rsid w:val="001123ED"/>
    <w:rsid w:val="001207DE"/>
    <w:rsid w:val="00121010"/>
    <w:rsid w:val="00125EE3"/>
    <w:rsid w:val="001341BF"/>
    <w:rsid w:val="00142D73"/>
    <w:rsid w:val="00147A54"/>
    <w:rsid w:val="001520C0"/>
    <w:rsid w:val="0015399E"/>
    <w:rsid w:val="00153CCC"/>
    <w:rsid w:val="00154981"/>
    <w:rsid w:val="001552C4"/>
    <w:rsid w:val="0015599D"/>
    <w:rsid w:val="001566F3"/>
    <w:rsid w:val="00156C96"/>
    <w:rsid w:val="00160121"/>
    <w:rsid w:val="001619E7"/>
    <w:rsid w:val="00164173"/>
    <w:rsid w:val="00170836"/>
    <w:rsid w:val="00171AE3"/>
    <w:rsid w:val="00175F53"/>
    <w:rsid w:val="001775D3"/>
    <w:rsid w:val="00185FF3"/>
    <w:rsid w:val="001863FA"/>
    <w:rsid w:val="00190654"/>
    <w:rsid w:val="0019465F"/>
    <w:rsid w:val="001A054E"/>
    <w:rsid w:val="001A1CC0"/>
    <w:rsid w:val="001A223E"/>
    <w:rsid w:val="001A240D"/>
    <w:rsid w:val="001B46A8"/>
    <w:rsid w:val="001B4AFB"/>
    <w:rsid w:val="001B4F3F"/>
    <w:rsid w:val="001C2405"/>
    <w:rsid w:val="001C7741"/>
    <w:rsid w:val="001D14FC"/>
    <w:rsid w:val="001D180F"/>
    <w:rsid w:val="001D413A"/>
    <w:rsid w:val="001D652C"/>
    <w:rsid w:val="001D75F8"/>
    <w:rsid w:val="001E074F"/>
    <w:rsid w:val="001E2141"/>
    <w:rsid w:val="001E566F"/>
    <w:rsid w:val="001E71E0"/>
    <w:rsid w:val="001F0349"/>
    <w:rsid w:val="001F2CB3"/>
    <w:rsid w:val="001F3413"/>
    <w:rsid w:val="001F3E2D"/>
    <w:rsid w:val="001F55AE"/>
    <w:rsid w:val="001F6E50"/>
    <w:rsid w:val="001F7BBC"/>
    <w:rsid w:val="00200996"/>
    <w:rsid w:val="00200AA9"/>
    <w:rsid w:val="00205E01"/>
    <w:rsid w:val="00206694"/>
    <w:rsid w:val="00207E2E"/>
    <w:rsid w:val="00212234"/>
    <w:rsid w:val="002163C3"/>
    <w:rsid w:val="00216CB5"/>
    <w:rsid w:val="00217B21"/>
    <w:rsid w:val="00217F04"/>
    <w:rsid w:val="00217FFD"/>
    <w:rsid w:val="002234E1"/>
    <w:rsid w:val="00226B07"/>
    <w:rsid w:val="002351EE"/>
    <w:rsid w:val="00236C1E"/>
    <w:rsid w:val="00237085"/>
    <w:rsid w:val="00241058"/>
    <w:rsid w:val="00241DAE"/>
    <w:rsid w:val="00242D3A"/>
    <w:rsid w:val="00243A1A"/>
    <w:rsid w:val="0024728F"/>
    <w:rsid w:val="00247573"/>
    <w:rsid w:val="00250974"/>
    <w:rsid w:val="00250B34"/>
    <w:rsid w:val="002511E0"/>
    <w:rsid w:val="00256570"/>
    <w:rsid w:val="00260632"/>
    <w:rsid w:val="00261EE3"/>
    <w:rsid w:val="00262E99"/>
    <w:rsid w:val="00265268"/>
    <w:rsid w:val="002652D5"/>
    <w:rsid w:val="00265C53"/>
    <w:rsid w:val="00266B43"/>
    <w:rsid w:val="002675D8"/>
    <w:rsid w:val="00271F5B"/>
    <w:rsid w:val="00273323"/>
    <w:rsid w:val="002826E4"/>
    <w:rsid w:val="00282FA2"/>
    <w:rsid w:val="00287B86"/>
    <w:rsid w:val="002973DE"/>
    <w:rsid w:val="002A2DF8"/>
    <w:rsid w:val="002A59EF"/>
    <w:rsid w:val="002B02E4"/>
    <w:rsid w:val="002B3D21"/>
    <w:rsid w:val="002B44A1"/>
    <w:rsid w:val="002B731D"/>
    <w:rsid w:val="002C1FF8"/>
    <w:rsid w:val="002C6E4F"/>
    <w:rsid w:val="002C733F"/>
    <w:rsid w:val="002C7F03"/>
    <w:rsid w:val="002D0742"/>
    <w:rsid w:val="002D2221"/>
    <w:rsid w:val="002D529D"/>
    <w:rsid w:val="002D574D"/>
    <w:rsid w:val="002E6526"/>
    <w:rsid w:val="002F76DE"/>
    <w:rsid w:val="00301958"/>
    <w:rsid w:val="0030526E"/>
    <w:rsid w:val="00310B3D"/>
    <w:rsid w:val="0031114B"/>
    <w:rsid w:val="003116B5"/>
    <w:rsid w:val="0031566F"/>
    <w:rsid w:val="00315BDA"/>
    <w:rsid w:val="00317005"/>
    <w:rsid w:val="00322C4F"/>
    <w:rsid w:val="00330B34"/>
    <w:rsid w:val="00332366"/>
    <w:rsid w:val="00333884"/>
    <w:rsid w:val="00335C48"/>
    <w:rsid w:val="00344587"/>
    <w:rsid w:val="00345085"/>
    <w:rsid w:val="0035145A"/>
    <w:rsid w:val="003518E4"/>
    <w:rsid w:val="003541B4"/>
    <w:rsid w:val="00357D61"/>
    <w:rsid w:val="00361C42"/>
    <w:rsid w:val="00364559"/>
    <w:rsid w:val="0037327C"/>
    <w:rsid w:val="00374572"/>
    <w:rsid w:val="00381019"/>
    <w:rsid w:val="00391383"/>
    <w:rsid w:val="00395E2E"/>
    <w:rsid w:val="003A75B8"/>
    <w:rsid w:val="003B191B"/>
    <w:rsid w:val="003B1CE7"/>
    <w:rsid w:val="003B7C4A"/>
    <w:rsid w:val="003C045B"/>
    <w:rsid w:val="003C1E87"/>
    <w:rsid w:val="003C2EAB"/>
    <w:rsid w:val="003C3604"/>
    <w:rsid w:val="003C4AC6"/>
    <w:rsid w:val="003C63BE"/>
    <w:rsid w:val="003C79E1"/>
    <w:rsid w:val="003D4694"/>
    <w:rsid w:val="003D4F83"/>
    <w:rsid w:val="003E2711"/>
    <w:rsid w:val="003F12A2"/>
    <w:rsid w:val="003F6A79"/>
    <w:rsid w:val="003F6C69"/>
    <w:rsid w:val="00400267"/>
    <w:rsid w:val="004003B3"/>
    <w:rsid w:val="00400C6E"/>
    <w:rsid w:val="004020E6"/>
    <w:rsid w:val="0040246D"/>
    <w:rsid w:val="004024D0"/>
    <w:rsid w:val="00405A74"/>
    <w:rsid w:val="00410A88"/>
    <w:rsid w:val="00410B8E"/>
    <w:rsid w:val="0041453F"/>
    <w:rsid w:val="00415BDC"/>
    <w:rsid w:val="004164B2"/>
    <w:rsid w:val="00416E2E"/>
    <w:rsid w:val="004224EA"/>
    <w:rsid w:val="004226BF"/>
    <w:rsid w:val="004228F5"/>
    <w:rsid w:val="00424D4A"/>
    <w:rsid w:val="0042577F"/>
    <w:rsid w:val="00427624"/>
    <w:rsid w:val="00427E4C"/>
    <w:rsid w:val="00427EE2"/>
    <w:rsid w:val="0043228D"/>
    <w:rsid w:val="00433DB0"/>
    <w:rsid w:val="004457A1"/>
    <w:rsid w:val="00450C23"/>
    <w:rsid w:val="00451218"/>
    <w:rsid w:val="00451313"/>
    <w:rsid w:val="00456134"/>
    <w:rsid w:val="004570E7"/>
    <w:rsid w:val="00462F38"/>
    <w:rsid w:val="00463860"/>
    <w:rsid w:val="00463D26"/>
    <w:rsid w:val="0047211B"/>
    <w:rsid w:val="00472C5C"/>
    <w:rsid w:val="004738EE"/>
    <w:rsid w:val="004745E6"/>
    <w:rsid w:val="00476A5C"/>
    <w:rsid w:val="004812F5"/>
    <w:rsid w:val="004816E5"/>
    <w:rsid w:val="004833A3"/>
    <w:rsid w:val="004857FB"/>
    <w:rsid w:val="00497724"/>
    <w:rsid w:val="004A1713"/>
    <w:rsid w:val="004A3603"/>
    <w:rsid w:val="004A36CD"/>
    <w:rsid w:val="004A4B29"/>
    <w:rsid w:val="004B7E97"/>
    <w:rsid w:val="004B7F04"/>
    <w:rsid w:val="004C17B0"/>
    <w:rsid w:val="004C2EE7"/>
    <w:rsid w:val="004D0576"/>
    <w:rsid w:val="004D36D7"/>
    <w:rsid w:val="004D3792"/>
    <w:rsid w:val="004D4A5A"/>
    <w:rsid w:val="004E0D2B"/>
    <w:rsid w:val="004E2956"/>
    <w:rsid w:val="004E30E5"/>
    <w:rsid w:val="004E4138"/>
    <w:rsid w:val="004F0084"/>
    <w:rsid w:val="004F0109"/>
    <w:rsid w:val="004F2266"/>
    <w:rsid w:val="004F27D1"/>
    <w:rsid w:val="004F5B78"/>
    <w:rsid w:val="004F619A"/>
    <w:rsid w:val="004F7895"/>
    <w:rsid w:val="005002A2"/>
    <w:rsid w:val="005007CA"/>
    <w:rsid w:val="0050266C"/>
    <w:rsid w:val="00502F25"/>
    <w:rsid w:val="0050578D"/>
    <w:rsid w:val="00510FD6"/>
    <w:rsid w:val="0052141B"/>
    <w:rsid w:val="005222ED"/>
    <w:rsid w:val="00523BD5"/>
    <w:rsid w:val="00532F36"/>
    <w:rsid w:val="00534507"/>
    <w:rsid w:val="00536BD1"/>
    <w:rsid w:val="00536F48"/>
    <w:rsid w:val="005373C7"/>
    <w:rsid w:val="00542046"/>
    <w:rsid w:val="00542B90"/>
    <w:rsid w:val="00544726"/>
    <w:rsid w:val="00545293"/>
    <w:rsid w:val="00555B0E"/>
    <w:rsid w:val="00556412"/>
    <w:rsid w:val="00561970"/>
    <w:rsid w:val="00562EF5"/>
    <w:rsid w:val="0056390B"/>
    <w:rsid w:val="00571FB3"/>
    <w:rsid w:val="005721F0"/>
    <w:rsid w:val="005739CF"/>
    <w:rsid w:val="005740C8"/>
    <w:rsid w:val="0058092D"/>
    <w:rsid w:val="00581189"/>
    <w:rsid w:val="00591261"/>
    <w:rsid w:val="00591577"/>
    <w:rsid w:val="0059538D"/>
    <w:rsid w:val="005A3A0B"/>
    <w:rsid w:val="005A7288"/>
    <w:rsid w:val="005B0824"/>
    <w:rsid w:val="005B425E"/>
    <w:rsid w:val="005B76CF"/>
    <w:rsid w:val="005C2C12"/>
    <w:rsid w:val="005C5778"/>
    <w:rsid w:val="005D1762"/>
    <w:rsid w:val="005D2CA7"/>
    <w:rsid w:val="005D6115"/>
    <w:rsid w:val="005D7747"/>
    <w:rsid w:val="005E10BC"/>
    <w:rsid w:val="005E5DCC"/>
    <w:rsid w:val="005E5EC7"/>
    <w:rsid w:val="005E65A8"/>
    <w:rsid w:val="005E6AA8"/>
    <w:rsid w:val="005F1B9C"/>
    <w:rsid w:val="005F434C"/>
    <w:rsid w:val="005F57EB"/>
    <w:rsid w:val="0060008F"/>
    <w:rsid w:val="0061684B"/>
    <w:rsid w:val="00617362"/>
    <w:rsid w:val="00623590"/>
    <w:rsid w:val="00627580"/>
    <w:rsid w:val="0063030D"/>
    <w:rsid w:val="006310DD"/>
    <w:rsid w:val="00632923"/>
    <w:rsid w:val="00635147"/>
    <w:rsid w:val="0064231D"/>
    <w:rsid w:val="006444CD"/>
    <w:rsid w:val="00651851"/>
    <w:rsid w:val="00654FB9"/>
    <w:rsid w:val="006566CD"/>
    <w:rsid w:val="00657867"/>
    <w:rsid w:val="0066027E"/>
    <w:rsid w:val="006618BF"/>
    <w:rsid w:val="0066667D"/>
    <w:rsid w:val="00666B47"/>
    <w:rsid w:val="0067247A"/>
    <w:rsid w:val="006726C3"/>
    <w:rsid w:val="00672C4E"/>
    <w:rsid w:val="00676111"/>
    <w:rsid w:val="0067730A"/>
    <w:rsid w:val="006774B8"/>
    <w:rsid w:val="00684420"/>
    <w:rsid w:val="00695317"/>
    <w:rsid w:val="006953D8"/>
    <w:rsid w:val="006A09C7"/>
    <w:rsid w:val="006A2D4D"/>
    <w:rsid w:val="006B0D0A"/>
    <w:rsid w:val="006B323C"/>
    <w:rsid w:val="006B7ABD"/>
    <w:rsid w:val="006C1477"/>
    <w:rsid w:val="006C1526"/>
    <w:rsid w:val="006C1BCA"/>
    <w:rsid w:val="006C4222"/>
    <w:rsid w:val="006C7B60"/>
    <w:rsid w:val="006D0D82"/>
    <w:rsid w:val="006D6109"/>
    <w:rsid w:val="006D648E"/>
    <w:rsid w:val="006E3A8B"/>
    <w:rsid w:val="006E7F7A"/>
    <w:rsid w:val="006E7FA1"/>
    <w:rsid w:val="006F2527"/>
    <w:rsid w:val="006F2F12"/>
    <w:rsid w:val="0070054F"/>
    <w:rsid w:val="007006CF"/>
    <w:rsid w:val="00700F75"/>
    <w:rsid w:val="00703F01"/>
    <w:rsid w:val="007045CF"/>
    <w:rsid w:val="00705280"/>
    <w:rsid w:val="00706107"/>
    <w:rsid w:val="0071079D"/>
    <w:rsid w:val="00710999"/>
    <w:rsid w:val="00712550"/>
    <w:rsid w:val="00714B51"/>
    <w:rsid w:val="007155A5"/>
    <w:rsid w:val="00717DF3"/>
    <w:rsid w:val="00720B64"/>
    <w:rsid w:val="0072295D"/>
    <w:rsid w:val="00723BB2"/>
    <w:rsid w:val="00724305"/>
    <w:rsid w:val="007251FA"/>
    <w:rsid w:val="007277B4"/>
    <w:rsid w:val="00732339"/>
    <w:rsid w:val="00736441"/>
    <w:rsid w:val="00745147"/>
    <w:rsid w:val="007462E6"/>
    <w:rsid w:val="00746656"/>
    <w:rsid w:val="00746F5E"/>
    <w:rsid w:val="007556BD"/>
    <w:rsid w:val="00757BFC"/>
    <w:rsid w:val="00760919"/>
    <w:rsid w:val="00760A37"/>
    <w:rsid w:val="00765071"/>
    <w:rsid w:val="0076650E"/>
    <w:rsid w:val="00766567"/>
    <w:rsid w:val="007668CC"/>
    <w:rsid w:val="0076782F"/>
    <w:rsid w:val="007731D9"/>
    <w:rsid w:val="007743FD"/>
    <w:rsid w:val="00775A2D"/>
    <w:rsid w:val="0077636B"/>
    <w:rsid w:val="00780F53"/>
    <w:rsid w:val="00794E58"/>
    <w:rsid w:val="007A1CE1"/>
    <w:rsid w:val="007A24BB"/>
    <w:rsid w:val="007A3586"/>
    <w:rsid w:val="007A64BB"/>
    <w:rsid w:val="007B00C7"/>
    <w:rsid w:val="007B312A"/>
    <w:rsid w:val="007C025E"/>
    <w:rsid w:val="007C217F"/>
    <w:rsid w:val="007C23D6"/>
    <w:rsid w:val="007C3F0C"/>
    <w:rsid w:val="007C5223"/>
    <w:rsid w:val="007D044B"/>
    <w:rsid w:val="007D6215"/>
    <w:rsid w:val="007D6CB1"/>
    <w:rsid w:val="007E346B"/>
    <w:rsid w:val="007E431F"/>
    <w:rsid w:val="007E488D"/>
    <w:rsid w:val="007F0768"/>
    <w:rsid w:val="007F323E"/>
    <w:rsid w:val="007F3CF1"/>
    <w:rsid w:val="007F5D33"/>
    <w:rsid w:val="008018C3"/>
    <w:rsid w:val="008036D5"/>
    <w:rsid w:val="0080541B"/>
    <w:rsid w:val="00830C7D"/>
    <w:rsid w:val="00835CD6"/>
    <w:rsid w:val="008363D3"/>
    <w:rsid w:val="00840BC8"/>
    <w:rsid w:val="0084519E"/>
    <w:rsid w:val="0085013E"/>
    <w:rsid w:val="00853579"/>
    <w:rsid w:val="00854007"/>
    <w:rsid w:val="0085501A"/>
    <w:rsid w:val="00857138"/>
    <w:rsid w:val="00861003"/>
    <w:rsid w:val="00865C4F"/>
    <w:rsid w:val="008723DD"/>
    <w:rsid w:val="00873538"/>
    <w:rsid w:val="00873B84"/>
    <w:rsid w:val="00874BD7"/>
    <w:rsid w:val="00875997"/>
    <w:rsid w:val="00876F48"/>
    <w:rsid w:val="00877039"/>
    <w:rsid w:val="00880C14"/>
    <w:rsid w:val="008829C8"/>
    <w:rsid w:val="00883E0C"/>
    <w:rsid w:val="00886049"/>
    <w:rsid w:val="00886459"/>
    <w:rsid w:val="0088678D"/>
    <w:rsid w:val="008876A4"/>
    <w:rsid w:val="00891610"/>
    <w:rsid w:val="0089224E"/>
    <w:rsid w:val="008A3696"/>
    <w:rsid w:val="008A5926"/>
    <w:rsid w:val="008B055C"/>
    <w:rsid w:val="008B39B5"/>
    <w:rsid w:val="008B5730"/>
    <w:rsid w:val="008B6E7F"/>
    <w:rsid w:val="008C06D1"/>
    <w:rsid w:val="008C2A43"/>
    <w:rsid w:val="008C6992"/>
    <w:rsid w:val="008C7CE9"/>
    <w:rsid w:val="008D41C9"/>
    <w:rsid w:val="008D5CE4"/>
    <w:rsid w:val="008D5DD4"/>
    <w:rsid w:val="008E267F"/>
    <w:rsid w:val="008E382D"/>
    <w:rsid w:val="008E5E6C"/>
    <w:rsid w:val="008F0B14"/>
    <w:rsid w:val="008F7A0F"/>
    <w:rsid w:val="00900733"/>
    <w:rsid w:val="00900CDD"/>
    <w:rsid w:val="0090345E"/>
    <w:rsid w:val="00903483"/>
    <w:rsid w:val="00905100"/>
    <w:rsid w:val="009116FC"/>
    <w:rsid w:val="00912A81"/>
    <w:rsid w:val="00914927"/>
    <w:rsid w:val="00916618"/>
    <w:rsid w:val="00922FEB"/>
    <w:rsid w:val="0093106A"/>
    <w:rsid w:val="00937073"/>
    <w:rsid w:val="0093777F"/>
    <w:rsid w:val="0094134A"/>
    <w:rsid w:val="00943DF9"/>
    <w:rsid w:val="00946891"/>
    <w:rsid w:val="00947346"/>
    <w:rsid w:val="00950BE7"/>
    <w:rsid w:val="0095143E"/>
    <w:rsid w:val="00954EFF"/>
    <w:rsid w:val="00956D2D"/>
    <w:rsid w:val="00961CE2"/>
    <w:rsid w:val="009669F8"/>
    <w:rsid w:val="00966FE5"/>
    <w:rsid w:val="00973DF3"/>
    <w:rsid w:val="009740A1"/>
    <w:rsid w:val="009770D2"/>
    <w:rsid w:val="009837C8"/>
    <w:rsid w:val="00984729"/>
    <w:rsid w:val="00986E09"/>
    <w:rsid w:val="00990A3C"/>
    <w:rsid w:val="00991E9A"/>
    <w:rsid w:val="009930BD"/>
    <w:rsid w:val="0099499F"/>
    <w:rsid w:val="00995ED0"/>
    <w:rsid w:val="00996667"/>
    <w:rsid w:val="009A05BF"/>
    <w:rsid w:val="009A0775"/>
    <w:rsid w:val="009A20F7"/>
    <w:rsid w:val="009B2315"/>
    <w:rsid w:val="009B788F"/>
    <w:rsid w:val="009C4544"/>
    <w:rsid w:val="009C4AB8"/>
    <w:rsid w:val="009C51CF"/>
    <w:rsid w:val="009C6155"/>
    <w:rsid w:val="009C6431"/>
    <w:rsid w:val="009C71E4"/>
    <w:rsid w:val="009D0B38"/>
    <w:rsid w:val="009D14DE"/>
    <w:rsid w:val="009D26C0"/>
    <w:rsid w:val="009D64A3"/>
    <w:rsid w:val="009E06AE"/>
    <w:rsid w:val="009E08DD"/>
    <w:rsid w:val="009E0C89"/>
    <w:rsid w:val="009E29DA"/>
    <w:rsid w:val="009E4A2F"/>
    <w:rsid w:val="009E6BD3"/>
    <w:rsid w:val="009F0018"/>
    <w:rsid w:val="009F018B"/>
    <w:rsid w:val="009F0E45"/>
    <w:rsid w:val="009F2891"/>
    <w:rsid w:val="009F4771"/>
    <w:rsid w:val="00A030DE"/>
    <w:rsid w:val="00A0466E"/>
    <w:rsid w:val="00A106AB"/>
    <w:rsid w:val="00A10ABB"/>
    <w:rsid w:val="00A11922"/>
    <w:rsid w:val="00A12F75"/>
    <w:rsid w:val="00A22CD6"/>
    <w:rsid w:val="00A231BF"/>
    <w:rsid w:val="00A23CE3"/>
    <w:rsid w:val="00A25B73"/>
    <w:rsid w:val="00A25D4A"/>
    <w:rsid w:val="00A26FC2"/>
    <w:rsid w:val="00A34557"/>
    <w:rsid w:val="00A345DE"/>
    <w:rsid w:val="00A40F57"/>
    <w:rsid w:val="00A43694"/>
    <w:rsid w:val="00A43EA9"/>
    <w:rsid w:val="00A44A60"/>
    <w:rsid w:val="00A57D3C"/>
    <w:rsid w:val="00A61AEB"/>
    <w:rsid w:val="00A625F8"/>
    <w:rsid w:val="00A64D34"/>
    <w:rsid w:val="00A7637A"/>
    <w:rsid w:val="00A7784E"/>
    <w:rsid w:val="00A8172F"/>
    <w:rsid w:val="00A835CB"/>
    <w:rsid w:val="00A8449D"/>
    <w:rsid w:val="00A9181F"/>
    <w:rsid w:val="00A93747"/>
    <w:rsid w:val="00A96A0F"/>
    <w:rsid w:val="00A96B7A"/>
    <w:rsid w:val="00A96FAA"/>
    <w:rsid w:val="00A97512"/>
    <w:rsid w:val="00AA1B31"/>
    <w:rsid w:val="00AA2A3A"/>
    <w:rsid w:val="00AA68CF"/>
    <w:rsid w:val="00AB0BE6"/>
    <w:rsid w:val="00AB296B"/>
    <w:rsid w:val="00AB4788"/>
    <w:rsid w:val="00AB5C28"/>
    <w:rsid w:val="00AB6BA4"/>
    <w:rsid w:val="00AC3A97"/>
    <w:rsid w:val="00AC3DAE"/>
    <w:rsid w:val="00AC4CF3"/>
    <w:rsid w:val="00AC5123"/>
    <w:rsid w:val="00AC59BE"/>
    <w:rsid w:val="00AD0ED0"/>
    <w:rsid w:val="00AD0F34"/>
    <w:rsid w:val="00AD5C20"/>
    <w:rsid w:val="00AD6055"/>
    <w:rsid w:val="00AD61E7"/>
    <w:rsid w:val="00AD7342"/>
    <w:rsid w:val="00AD7C53"/>
    <w:rsid w:val="00AE2F5E"/>
    <w:rsid w:val="00AE3E8F"/>
    <w:rsid w:val="00AE5216"/>
    <w:rsid w:val="00AF0520"/>
    <w:rsid w:val="00AF1AA4"/>
    <w:rsid w:val="00AF1DCF"/>
    <w:rsid w:val="00AF2598"/>
    <w:rsid w:val="00AF3271"/>
    <w:rsid w:val="00AF6E05"/>
    <w:rsid w:val="00AF7139"/>
    <w:rsid w:val="00B02FF5"/>
    <w:rsid w:val="00B03A2F"/>
    <w:rsid w:val="00B058FC"/>
    <w:rsid w:val="00B114DB"/>
    <w:rsid w:val="00B15547"/>
    <w:rsid w:val="00B1652A"/>
    <w:rsid w:val="00B167C6"/>
    <w:rsid w:val="00B16F37"/>
    <w:rsid w:val="00B17414"/>
    <w:rsid w:val="00B21860"/>
    <w:rsid w:val="00B25191"/>
    <w:rsid w:val="00B255FB"/>
    <w:rsid w:val="00B259CE"/>
    <w:rsid w:val="00B306D3"/>
    <w:rsid w:val="00B353DE"/>
    <w:rsid w:val="00B37AA1"/>
    <w:rsid w:val="00B46145"/>
    <w:rsid w:val="00B503DF"/>
    <w:rsid w:val="00B5370F"/>
    <w:rsid w:val="00B63161"/>
    <w:rsid w:val="00B6607B"/>
    <w:rsid w:val="00B6709E"/>
    <w:rsid w:val="00B70DBE"/>
    <w:rsid w:val="00B72C75"/>
    <w:rsid w:val="00B76DBB"/>
    <w:rsid w:val="00B835D7"/>
    <w:rsid w:val="00B84C5E"/>
    <w:rsid w:val="00B909DA"/>
    <w:rsid w:val="00B9571F"/>
    <w:rsid w:val="00B96DD0"/>
    <w:rsid w:val="00BA5747"/>
    <w:rsid w:val="00BA7CDB"/>
    <w:rsid w:val="00BB2ED5"/>
    <w:rsid w:val="00BB6DD9"/>
    <w:rsid w:val="00BC3517"/>
    <w:rsid w:val="00BC4268"/>
    <w:rsid w:val="00BC5DCD"/>
    <w:rsid w:val="00BD1B8F"/>
    <w:rsid w:val="00BD3625"/>
    <w:rsid w:val="00BD7236"/>
    <w:rsid w:val="00BE2ADC"/>
    <w:rsid w:val="00BE44C9"/>
    <w:rsid w:val="00BE6AC7"/>
    <w:rsid w:val="00BE7055"/>
    <w:rsid w:val="00BF173E"/>
    <w:rsid w:val="00BF18F7"/>
    <w:rsid w:val="00BF5500"/>
    <w:rsid w:val="00BF76F8"/>
    <w:rsid w:val="00C0015B"/>
    <w:rsid w:val="00C04EE6"/>
    <w:rsid w:val="00C04FDF"/>
    <w:rsid w:val="00C0516B"/>
    <w:rsid w:val="00C11ACA"/>
    <w:rsid w:val="00C155F2"/>
    <w:rsid w:val="00C216DD"/>
    <w:rsid w:val="00C23FE6"/>
    <w:rsid w:val="00C32352"/>
    <w:rsid w:val="00C327BA"/>
    <w:rsid w:val="00C34A80"/>
    <w:rsid w:val="00C355B7"/>
    <w:rsid w:val="00C378C4"/>
    <w:rsid w:val="00C428C9"/>
    <w:rsid w:val="00C45CE8"/>
    <w:rsid w:val="00C46499"/>
    <w:rsid w:val="00C52639"/>
    <w:rsid w:val="00C52BF2"/>
    <w:rsid w:val="00C54DF6"/>
    <w:rsid w:val="00C569B0"/>
    <w:rsid w:val="00C60A86"/>
    <w:rsid w:val="00C63F93"/>
    <w:rsid w:val="00C64C7A"/>
    <w:rsid w:val="00C66519"/>
    <w:rsid w:val="00C714C9"/>
    <w:rsid w:val="00C7263F"/>
    <w:rsid w:val="00C759C9"/>
    <w:rsid w:val="00C815F0"/>
    <w:rsid w:val="00C82DD3"/>
    <w:rsid w:val="00C85409"/>
    <w:rsid w:val="00C85E90"/>
    <w:rsid w:val="00C86A4A"/>
    <w:rsid w:val="00C913FB"/>
    <w:rsid w:val="00C917BB"/>
    <w:rsid w:val="00C93E05"/>
    <w:rsid w:val="00C9465F"/>
    <w:rsid w:val="00C947F4"/>
    <w:rsid w:val="00CA00ED"/>
    <w:rsid w:val="00CA04A6"/>
    <w:rsid w:val="00CA069C"/>
    <w:rsid w:val="00CA1C4C"/>
    <w:rsid w:val="00CA4289"/>
    <w:rsid w:val="00CA76DC"/>
    <w:rsid w:val="00CB0400"/>
    <w:rsid w:val="00CB4834"/>
    <w:rsid w:val="00CB6827"/>
    <w:rsid w:val="00CB7E55"/>
    <w:rsid w:val="00CC0BDE"/>
    <w:rsid w:val="00CC146E"/>
    <w:rsid w:val="00CC583E"/>
    <w:rsid w:val="00CD074A"/>
    <w:rsid w:val="00CD0902"/>
    <w:rsid w:val="00CD260C"/>
    <w:rsid w:val="00CD309C"/>
    <w:rsid w:val="00CD3FEC"/>
    <w:rsid w:val="00CD42B9"/>
    <w:rsid w:val="00CD6E0B"/>
    <w:rsid w:val="00CE37E5"/>
    <w:rsid w:val="00CE58C1"/>
    <w:rsid w:val="00CE6B7A"/>
    <w:rsid w:val="00CE707E"/>
    <w:rsid w:val="00D00AE0"/>
    <w:rsid w:val="00D026D5"/>
    <w:rsid w:val="00D0274A"/>
    <w:rsid w:val="00D1104B"/>
    <w:rsid w:val="00D15D65"/>
    <w:rsid w:val="00D17890"/>
    <w:rsid w:val="00D23DA5"/>
    <w:rsid w:val="00D24852"/>
    <w:rsid w:val="00D27C06"/>
    <w:rsid w:val="00D35B3D"/>
    <w:rsid w:val="00D364D8"/>
    <w:rsid w:val="00D41BE4"/>
    <w:rsid w:val="00D429B0"/>
    <w:rsid w:val="00D43E43"/>
    <w:rsid w:val="00D44638"/>
    <w:rsid w:val="00D47DA4"/>
    <w:rsid w:val="00D47FB4"/>
    <w:rsid w:val="00D50C6D"/>
    <w:rsid w:val="00D5103B"/>
    <w:rsid w:val="00D51A18"/>
    <w:rsid w:val="00D5354C"/>
    <w:rsid w:val="00D567C3"/>
    <w:rsid w:val="00D60666"/>
    <w:rsid w:val="00D61709"/>
    <w:rsid w:val="00D622C1"/>
    <w:rsid w:val="00D62947"/>
    <w:rsid w:val="00D63898"/>
    <w:rsid w:val="00D64B2B"/>
    <w:rsid w:val="00D6605E"/>
    <w:rsid w:val="00D7411C"/>
    <w:rsid w:val="00D751DD"/>
    <w:rsid w:val="00D759D9"/>
    <w:rsid w:val="00D76C5B"/>
    <w:rsid w:val="00D779F7"/>
    <w:rsid w:val="00D827AD"/>
    <w:rsid w:val="00D82EC3"/>
    <w:rsid w:val="00D838DF"/>
    <w:rsid w:val="00D83F54"/>
    <w:rsid w:val="00D87421"/>
    <w:rsid w:val="00D94863"/>
    <w:rsid w:val="00DA047A"/>
    <w:rsid w:val="00DA2762"/>
    <w:rsid w:val="00DA36BF"/>
    <w:rsid w:val="00DA6234"/>
    <w:rsid w:val="00DB0BB8"/>
    <w:rsid w:val="00DB377A"/>
    <w:rsid w:val="00DB7D40"/>
    <w:rsid w:val="00DC032B"/>
    <w:rsid w:val="00DC1794"/>
    <w:rsid w:val="00DC1EF3"/>
    <w:rsid w:val="00DC43ED"/>
    <w:rsid w:val="00DD0E9B"/>
    <w:rsid w:val="00DD2655"/>
    <w:rsid w:val="00DD36A7"/>
    <w:rsid w:val="00DD3DDA"/>
    <w:rsid w:val="00DD48A5"/>
    <w:rsid w:val="00DD54E0"/>
    <w:rsid w:val="00DE0020"/>
    <w:rsid w:val="00DE0617"/>
    <w:rsid w:val="00DE4307"/>
    <w:rsid w:val="00DE4DCE"/>
    <w:rsid w:val="00DE6956"/>
    <w:rsid w:val="00DF3533"/>
    <w:rsid w:val="00DF42C2"/>
    <w:rsid w:val="00DF520A"/>
    <w:rsid w:val="00DF55CE"/>
    <w:rsid w:val="00E0142F"/>
    <w:rsid w:val="00E0229B"/>
    <w:rsid w:val="00E0351F"/>
    <w:rsid w:val="00E036DD"/>
    <w:rsid w:val="00E04602"/>
    <w:rsid w:val="00E04699"/>
    <w:rsid w:val="00E12826"/>
    <w:rsid w:val="00E16BA5"/>
    <w:rsid w:val="00E17299"/>
    <w:rsid w:val="00E172D2"/>
    <w:rsid w:val="00E17D54"/>
    <w:rsid w:val="00E17EDB"/>
    <w:rsid w:val="00E24383"/>
    <w:rsid w:val="00E260AB"/>
    <w:rsid w:val="00E27D40"/>
    <w:rsid w:val="00E316B8"/>
    <w:rsid w:val="00E336AC"/>
    <w:rsid w:val="00E37B3A"/>
    <w:rsid w:val="00E4179D"/>
    <w:rsid w:val="00E43433"/>
    <w:rsid w:val="00E43EC9"/>
    <w:rsid w:val="00E44329"/>
    <w:rsid w:val="00E45CAD"/>
    <w:rsid w:val="00E519B9"/>
    <w:rsid w:val="00E540A1"/>
    <w:rsid w:val="00E55097"/>
    <w:rsid w:val="00E55E51"/>
    <w:rsid w:val="00E571EA"/>
    <w:rsid w:val="00E6089F"/>
    <w:rsid w:val="00E609B5"/>
    <w:rsid w:val="00E60B27"/>
    <w:rsid w:val="00E658E4"/>
    <w:rsid w:val="00E65DD8"/>
    <w:rsid w:val="00E669C9"/>
    <w:rsid w:val="00E67446"/>
    <w:rsid w:val="00E706E1"/>
    <w:rsid w:val="00E717EB"/>
    <w:rsid w:val="00E71C1C"/>
    <w:rsid w:val="00E80D7B"/>
    <w:rsid w:val="00E83899"/>
    <w:rsid w:val="00E8462D"/>
    <w:rsid w:val="00E87546"/>
    <w:rsid w:val="00E9084B"/>
    <w:rsid w:val="00E95C28"/>
    <w:rsid w:val="00E960C8"/>
    <w:rsid w:val="00E96B23"/>
    <w:rsid w:val="00EA27C8"/>
    <w:rsid w:val="00EA5226"/>
    <w:rsid w:val="00EB212D"/>
    <w:rsid w:val="00EB2C6A"/>
    <w:rsid w:val="00EB7E72"/>
    <w:rsid w:val="00EC3FD8"/>
    <w:rsid w:val="00EC4617"/>
    <w:rsid w:val="00EC4D26"/>
    <w:rsid w:val="00EC5EDE"/>
    <w:rsid w:val="00EC6441"/>
    <w:rsid w:val="00ED0068"/>
    <w:rsid w:val="00ED4F81"/>
    <w:rsid w:val="00EE0155"/>
    <w:rsid w:val="00EE46E6"/>
    <w:rsid w:val="00EE66CC"/>
    <w:rsid w:val="00EE684F"/>
    <w:rsid w:val="00EF06F3"/>
    <w:rsid w:val="00EF287B"/>
    <w:rsid w:val="00EF4510"/>
    <w:rsid w:val="00EF5C3B"/>
    <w:rsid w:val="00F024B2"/>
    <w:rsid w:val="00F04225"/>
    <w:rsid w:val="00F04D6F"/>
    <w:rsid w:val="00F079D7"/>
    <w:rsid w:val="00F103E1"/>
    <w:rsid w:val="00F11DDC"/>
    <w:rsid w:val="00F1494A"/>
    <w:rsid w:val="00F161FD"/>
    <w:rsid w:val="00F20FBB"/>
    <w:rsid w:val="00F24589"/>
    <w:rsid w:val="00F248C7"/>
    <w:rsid w:val="00F25125"/>
    <w:rsid w:val="00F320F0"/>
    <w:rsid w:val="00F33B15"/>
    <w:rsid w:val="00F4007B"/>
    <w:rsid w:val="00F43298"/>
    <w:rsid w:val="00F45D2D"/>
    <w:rsid w:val="00F52149"/>
    <w:rsid w:val="00F52F64"/>
    <w:rsid w:val="00F60585"/>
    <w:rsid w:val="00F6746F"/>
    <w:rsid w:val="00F714DD"/>
    <w:rsid w:val="00F72A00"/>
    <w:rsid w:val="00F74957"/>
    <w:rsid w:val="00F763F5"/>
    <w:rsid w:val="00F82F30"/>
    <w:rsid w:val="00F83FEC"/>
    <w:rsid w:val="00F85C38"/>
    <w:rsid w:val="00F85F25"/>
    <w:rsid w:val="00F91685"/>
    <w:rsid w:val="00F9184B"/>
    <w:rsid w:val="00F9523D"/>
    <w:rsid w:val="00FA34C6"/>
    <w:rsid w:val="00FA7216"/>
    <w:rsid w:val="00FB1F82"/>
    <w:rsid w:val="00FB42CE"/>
    <w:rsid w:val="00FB71AF"/>
    <w:rsid w:val="00FB7673"/>
    <w:rsid w:val="00FC0B94"/>
    <w:rsid w:val="00FC2BF7"/>
    <w:rsid w:val="00FC5AE0"/>
    <w:rsid w:val="00FC5D1C"/>
    <w:rsid w:val="00FC5DB9"/>
    <w:rsid w:val="00FC6541"/>
    <w:rsid w:val="00FC68D3"/>
    <w:rsid w:val="00FD4A8D"/>
    <w:rsid w:val="00FD6B7D"/>
    <w:rsid w:val="00FD7583"/>
    <w:rsid w:val="00FE067A"/>
    <w:rsid w:val="00FE09EE"/>
    <w:rsid w:val="00FE4A52"/>
    <w:rsid w:val="00FE6EDB"/>
    <w:rsid w:val="00FE74CD"/>
    <w:rsid w:val="00FE7A0A"/>
    <w:rsid w:val="00FF2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14FA"/>
  <w15:docId w15:val="{CBCCDF53-D4B2-4918-B7FC-D0FE96617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64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42D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519B9"/>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2FEB"/>
    <w:pPr>
      <w:spacing w:after="0" w:line="240" w:lineRule="auto"/>
    </w:pPr>
    <w:rPr>
      <w:kern w:val="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922FEB"/>
    <w:rPr>
      <w:color w:val="0000FF"/>
      <w:u w:val="single"/>
    </w:rPr>
  </w:style>
  <w:style w:type="character" w:customStyle="1" w:styleId="FollowedHyperlink1">
    <w:name w:val="FollowedHyperlink1"/>
    <w:basedOn w:val="DefaultParagraphFont"/>
    <w:uiPriority w:val="99"/>
    <w:semiHidden/>
    <w:unhideWhenUsed/>
    <w:rsid w:val="00922FEB"/>
    <w:rPr>
      <w:color w:val="800080"/>
      <w:u w:val="single"/>
    </w:rPr>
  </w:style>
  <w:style w:type="paragraph" w:styleId="FootnoteText">
    <w:name w:val="footnote text"/>
    <w:basedOn w:val="Normal"/>
    <w:link w:val="FootnoteTextChar"/>
    <w:uiPriority w:val="99"/>
    <w:semiHidden/>
    <w:unhideWhenUsed/>
    <w:rsid w:val="00922FEB"/>
    <w:pPr>
      <w:spacing w:after="0" w:line="240" w:lineRule="auto"/>
    </w:pPr>
    <w:rPr>
      <w:kern w:val="0"/>
      <w:sz w:val="20"/>
      <w:szCs w:val="20"/>
      <w:lang w:val="ro-RO"/>
      <w14:ligatures w14:val="none"/>
    </w:rPr>
  </w:style>
  <w:style w:type="character" w:customStyle="1" w:styleId="FootnoteTextChar">
    <w:name w:val="Footnote Text Char"/>
    <w:basedOn w:val="DefaultParagraphFont"/>
    <w:link w:val="FootnoteText"/>
    <w:uiPriority w:val="99"/>
    <w:semiHidden/>
    <w:rsid w:val="00922FEB"/>
    <w:rPr>
      <w:kern w:val="0"/>
      <w:sz w:val="20"/>
      <w:szCs w:val="20"/>
      <w:lang w:val="ro-RO"/>
      <w14:ligatures w14:val="none"/>
    </w:rPr>
  </w:style>
  <w:style w:type="character" w:styleId="FootnoteReference">
    <w:name w:val="footnote reference"/>
    <w:basedOn w:val="DefaultParagraphFont"/>
    <w:uiPriority w:val="99"/>
    <w:semiHidden/>
    <w:unhideWhenUsed/>
    <w:rsid w:val="00922FEB"/>
    <w:rPr>
      <w:vertAlign w:val="superscript"/>
    </w:rPr>
  </w:style>
  <w:style w:type="paragraph" w:styleId="ListParagraph">
    <w:name w:val="List Paragraph"/>
    <w:basedOn w:val="Normal"/>
    <w:uiPriority w:val="34"/>
    <w:qFormat/>
    <w:rsid w:val="00922FEB"/>
    <w:pPr>
      <w:spacing w:after="200" w:line="276" w:lineRule="auto"/>
      <w:ind w:left="720"/>
      <w:contextualSpacing/>
    </w:pPr>
    <w:rPr>
      <w:kern w:val="0"/>
      <w:lang w:val="ro-RO"/>
      <w14:ligatures w14:val="none"/>
    </w:rPr>
  </w:style>
  <w:style w:type="paragraph" w:styleId="NormalWeb">
    <w:name w:val="Normal (Web)"/>
    <w:basedOn w:val="Normal"/>
    <w:uiPriority w:val="99"/>
    <w:unhideWhenUsed/>
    <w:rsid w:val="00922FEB"/>
    <w:pPr>
      <w:spacing w:after="200" w:line="276" w:lineRule="auto"/>
    </w:pPr>
    <w:rPr>
      <w:rFonts w:ascii="Times New Roman" w:hAnsi="Times New Roman" w:cs="Times New Roman"/>
      <w:kern w:val="0"/>
      <w:sz w:val="24"/>
      <w:szCs w:val="24"/>
      <w:lang w:val="ro-RO"/>
      <w14:ligatures w14:val="none"/>
    </w:rPr>
  </w:style>
  <w:style w:type="character" w:customStyle="1" w:styleId="apple-converted-space">
    <w:name w:val="apple-converted-space"/>
    <w:basedOn w:val="DefaultParagraphFont"/>
    <w:rsid w:val="00922FEB"/>
  </w:style>
  <w:style w:type="character" w:styleId="PageNumber">
    <w:name w:val="page number"/>
    <w:basedOn w:val="DefaultParagraphFont"/>
    <w:rsid w:val="00922FEB"/>
  </w:style>
  <w:style w:type="character" w:customStyle="1" w:styleId="docblue">
    <w:name w:val="doc_blue"/>
    <w:basedOn w:val="DefaultParagraphFont"/>
    <w:rsid w:val="00922FEB"/>
  </w:style>
  <w:style w:type="character" w:customStyle="1" w:styleId="docbody">
    <w:name w:val="doc_body"/>
    <w:basedOn w:val="DefaultParagraphFont"/>
    <w:rsid w:val="00922FEB"/>
  </w:style>
  <w:style w:type="character" w:customStyle="1" w:styleId="docred">
    <w:name w:val="doc_red"/>
    <w:basedOn w:val="DefaultParagraphFont"/>
    <w:rsid w:val="00922FEB"/>
  </w:style>
  <w:style w:type="character" w:styleId="CommentReference">
    <w:name w:val="annotation reference"/>
    <w:basedOn w:val="DefaultParagraphFont"/>
    <w:uiPriority w:val="99"/>
    <w:semiHidden/>
    <w:unhideWhenUsed/>
    <w:rsid w:val="00922FEB"/>
    <w:rPr>
      <w:sz w:val="16"/>
      <w:szCs w:val="16"/>
    </w:rPr>
  </w:style>
  <w:style w:type="paragraph" w:styleId="CommentText">
    <w:name w:val="annotation text"/>
    <w:basedOn w:val="Normal"/>
    <w:link w:val="CommentTextChar"/>
    <w:uiPriority w:val="99"/>
    <w:unhideWhenUsed/>
    <w:rsid w:val="00922FEB"/>
    <w:pPr>
      <w:spacing w:after="200" w:line="240" w:lineRule="auto"/>
    </w:pPr>
    <w:rPr>
      <w:kern w:val="0"/>
      <w:sz w:val="20"/>
      <w:szCs w:val="20"/>
      <w:lang w:val="ro-RO"/>
      <w14:ligatures w14:val="none"/>
    </w:rPr>
  </w:style>
  <w:style w:type="character" w:customStyle="1" w:styleId="CommentTextChar">
    <w:name w:val="Comment Text Char"/>
    <w:basedOn w:val="DefaultParagraphFont"/>
    <w:link w:val="CommentText"/>
    <w:uiPriority w:val="99"/>
    <w:rsid w:val="00922FEB"/>
    <w:rPr>
      <w:kern w:val="0"/>
      <w:sz w:val="20"/>
      <w:szCs w:val="20"/>
      <w:lang w:val="ro-RO"/>
      <w14:ligatures w14:val="none"/>
    </w:rPr>
  </w:style>
  <w:style w:type="paragraph" w:styleId="CommentSubject">
    <w:name w:val="annotation subject"/>
    <w:basedOn w:val="CommentText"/>
    <w:next w:val="CommentText"/>
    <w:link w:val="CommentSubjectChar"/>
    <w:uiPriority w:val="99"/>
    <w:semiHidden/>
    <w:unhideWhenUsed/>
    <w:rsid w:val="00922FEB"/>
    <w:rPr>
      <w:b/>
      <w:bCs/>
    </w:rPr>
  </w:style>
  <w:style w:type="character" w:customStyle="1" w:styleId="CommentSubjectChar">
    <w:name w:val="Comment Subject Char"/>
    <w:basedOn w:val="CommentTextChar"/>
    <w:link w:val="CommentSubject"/>
    <w:uiPriority w:val="99"/>
    <w:semiHidden/>
    <w:rsid w:val="00922FEB"/>
    <w:rPr>
      <w:b/>
      <w:bCs/>
      <w:kern w:val="0"/>
      <w:sz w:val="20"/>
      <w:szCs w:val="20"/>
      <w:lang w:val="ro-RO"/>
      <w14:ligatures w14:val="none"/>
    </w:rPr>
  </w:style>
  <w:style w:type="paragraph" w:styleId="BalloonText">
    <w:name w:val="Balloon Text"/>
    <w:basedOn w:val="Normal"/>
    <w:link w:val="BalloonTextChar"/>
    <w:uiPriority w:val="99"/>
    <w:semiHidden/>
    <w:unhideWhenUsed/>
    <w:rsid w:val="00922FEB"/>
    <w:pPr>
      <w:spacing w:after="0" w:line="240" w:lineRule="auto"/>
    </w:pPr>
    <w:rPr>
      <w:rFonts w:ascii="Tahoma" w:hAnsi="Tahoma" w:cs="Tahoma"/>
      <w:kern w:val="0"/>
      <w:sz w:val="16"/>
      <w:szCs w:val="16"/>
      <w:lang w:val="ro-RO"/>
      <w14:ligatures w14:val="none"/>
    </w:rPr>
  </w:style>
  <w:style w:type="character" w:customStyle="1" w:styleId="BalloonTextChar">
    <w:name w:val="Balloon Text Char"/>
    <w:basedOn w:val="DefaultParagraphFont"/>
    <w:link w:val="BalloonText"/>
    <w:uiPriority w:val="99"/>
    <w:semiHidden/>
    <w:rsid w:val="00922FEB"/>
    <w:rPr>
      <w:rFonts w:ascii="Tahoma" w:hAnsi="Tahoma" w:cs="Tahoma"/>
      <w:kern w:val="0"/>
      <w:sz w:val="16"/>
      <w:szCs w:val="16"/>
      <w:lang w:val="ro-RO"/>
      <w14:ligatures w14:val="none"/>
    </w:rPr>
  </w:style>
  <w:style w:type="character" w:styleId="Strong">
    <w:name w:val="Strong"/>
    <w:basedOn w:val="DefaultParagraphFont"/>
    <w:uiPriority w:val="22"/>
    <w:qFormat/>
    <w:rsid w:val="00922FEB"/>
    <w:rPr>
      <w:b/>
      <w:bCs/>
    </w:rPr>
  </w:style>
  <w:style w:type="character" w:customStyle="1" w:styleId="docheader">
    <w:name w:val="doc_header"/>
    <w:basedOn w:val="DefaultParagraphFont"/>
    <w:rsid w:val="00922FEB"/>
  </w:style>
  <w:style w:type="paragraph" w:customStyle="1" w:styleId="ColorfulList-Accent11">
    <w:name w:val="Colorful List - Accent 11"/>
    <w:basedOn w:val="Normal"/>
    <w:uiPriority w:val="34"/>
    <w:qFormat/>
    <w:rsid w:val="00922FEB"/>
    <w:pPr>
      <w:spacing w:after="200" w:line="276" w:lineRule="auto"/>
      <w:ind w:left="720"/>
      <w:contextualSpacing/>
    </w:pPr>
    <w:rPr>
      <w:rFonts w:ascii="Calibri" w:eastAsia="Calibri" w:hAnsi="Calibri" w:cs="Times New Roman"/>
      <w:kern w:val="0"/>
      <w14:ligatures w14:val="none"/>
    </w:rPr>
  </w:style>
  <w:style w:type="character" w:customStyle="1" w:styleId="hps">
    <w:name w:val="hps"/>
    <w:rsid w:val="00922FEB"/>
  </w:style>
  <w:style w:type="paragraph" w:customStyle="1" w:styleId="MediumGrid1-Accent21">
    <w:name w:val="Medium Grid 1 - Accent 21"/>
    <w:basedOn w:val="Normal"/>
    <w:uiPriority w:val="34"/>
    <w:qFormat/>
    <w:rsid w:val="00922FEB"/>
    <w:pPr>
      <w:ind w:left="720"/>
      <w:contextualSpacing/>
    </w:pPr>
    <w:rPr>
      <w:rFonts w:ascii="Times New Roman" w:eastAsia="Calibri" w:hAnsi="Times New Roman" w:cs="Times New Roman"/>
      <w:color w:val="000000"/>
      <w:kern w:val="0"/>
      <w:sz w:val="24"/>
      <w14:ligatures w14:val="none"/>
    </w:rPr>
  </w:style>
  <w:style w:type="character" w:customStyle="1" w:styleId="UnresolvedMention1">
    <w:name w:val="Unresolved Mention1"/>
    <w:basedOn w:val="DefaultParagraphFont"/>
    <w:uiPriority w:val="99"/>
    <w:semiHidden/>
    <w:unhideWhenUsed/>
    <w:rsid w:val="00922FEB"/>
    <w:rPr>
      <w:color w:val="605E5C"/>
      <w:shd w:val="clear" w:color="auto" w:fill="E1DFDD"/>
    </w:rPr>
  </w:style>
  <w:style w:type="character" w:styleId="Hyperlink">
    <w:name w:val="Hyperlink"/>
    <w:basedOn w:val="DefaultParagraphFont"/>
    <w:uiPriority w:val="99"/>
    <w:unhideWhenUsed/>
    <w:rsid w:val="00922FEB"/>
    <w:rPr>
      <w:color w:val="0563C1" w:themeColor="hyperlink"/>
      <w:u w:val="single"/>
    </w:rPr>
  </w:style>
  <w:style w:type="character" w:styleId="FollowedHyperlink">
    <w:name w:val="FollowedHyperlink"/>
    <w:basedOn w:val="DefaultParagraphFont"/>
    <w:uiPriority w:val="99"/>
    <w:semiHidden/>
    <w:unhideWhenUsed/>
    <w:rsid w:val="00922FEB"/>
    <w:rPr>
      <w:color w:val="954F72" w:themeColor="followedHyperlink"/>
      <w:u w:val="single"/>
    </w:rPr>
  </w:style>
  <w:style w:type="paragraph" w:styleId="BodyText">
    <w:name w:val="Body Text"/>
    <w:basedOn w:val="Normal"/>
    <w:link w:val="BodyTextChar"/>
    <w:uiPriority w:val="1"/>
    <w:qFormat/>
    <w:rsid w:val="00996667"/>
    <w:pPr>
      <w:widowControl w:val="0"/>
      <w:autoSpaceDE w:val="0"/>
      <w:autoSpaceDN w:val="0"/>
      <w:spacing w:after="0" w:line="240" w:lineRule="auto"/>
      <w:ind w:left="744" w:hanging="361"/>
      <w:jc w:val="both"/>
    </w:pPr>
    <w:rPr>
      <w:rFonts w:ascii="Calibri" w:eastAsia="Calibri" w:hAnsi="Calibri" w:cs="Calibri"/>
      <w:kern w:val="0"/>
      <w:sz w:val="24"/>
      <w:szCs w:val="24"/>
      <w:lang w:val="sq-AL"/>
      <w14:ligatures w14:val="none"/>
    </w:rPr>
  </w:style>
  <w:style w:type="character" w:customStyle="1" w:styleId="BodyTextChar">
    <w:name w:val="Body Text Char"/>
    <w:basedOn w:val="DefaultParagraphFont"/>
    <w:link w:val="BodyText"/>
    <w:uiPriority w:val="1"/>
    <w:rsid w:val="00996667"/>
    <w:rPr>
      <w:rFonts w:ascii="Calibri" w:eastAsia="Calibri" w:hAnsi="Calibri" w:cs="Calibri"/>
      <w:kern w:val="0"/>
      <w:sz w:val="24"/>
      <w:szCs w:val="24"/>
      <w:lang w:val="sq-AL"/>
      <w14:ligatures w14:val="none"/>
    </w:rPr>
  </w:style>
  <w:style w:type="character" w:styleId="Emphasis">
    <w:name w:val="Emphasis"/>
    <w:basedOn w:val="DefaultParagraphFont"/>
    <w:uiPriority w:val="20"/>
    <w:qFormat/>
    <w:rsid w:val="001024E6"/>
    <w:rPr>
      <w:i/>
      <w:iCs/>
    </w:rPr>
  </w:style>
  <w:style w:type="character" w:customStyle="1" w:styleId="Heading3Char">
    <w:name w:val="Heading 3 Char"/>
    <w:basedOn w:val="DefaultParagraphFont"/>
    <w:link w:val="Heading3"/>
    <w:uiPriority w:val="9"/>
    <w:rsid w:val="00E519B9"/>
    <w:rPr>
      <w:rFonts w:ascii="Times New Roman" w:eastAsia="Times New Roman" w:hAnsi="Times New Roman" w:cs="Times New Roman"/>
      <w:b/>
      <w:bCs/>
      <w:kern w:val="0"/>
      <w:sz w:val="27"/>
      <w:szCs w:val="27"/>
      <w14:ligatures w14:val="none"/>
    </w:rPr>
  </w:style>
  <w:style w:type="character" w:customStyle="1" w:styleId="Heading1Char">
    <w:name w:val="Heading 1 Char"/>
    <w:basedOn w:val="DefaultParagraphFont"/>
    <w:link w:val="Heading1"/>
    <w:uiPriority w:val="9"/>
    <w:rsid w:val="009D64A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D64A3"/>
    <w:pPr>
      <w:outlineLvl w:val="9"/>
    </w:pPr>
    <w:rPr>
      <w:kern w:val="0"/>
      <w14:ligatures w14:val="none"/>
    </w:rPr>
  </w:style>
  <w:style w:type="paragraph" w:styleId="TOC3">
    <w:name w:val="toc 3"/>
    <w:basedOn w:val="Normal"/>
    <w:next w:val="Normal"/>
    <w:autoRedefine/>
    <w:uiPriority w:val="39"/>
    <w:unhideWhenUsed/>
    <w:rsid w:val="009D64A3"/>
    <w:pPr>
      <w:spacing w:after="100"/>
      <w:ind w:left="440"/>
    </w:pPr>
  </w:style>
  <w:style w:type="character" w:customStyle="1" w:styleId="Heading2Char">
    <w:name w:val="Heading 2 Char"/>
    <w:basedOn w:val="DefaultParagraphFont"/>
    <w:link w:val="Heading2"/>
    <w:uiPriority w:val="9"/>
    <w:rsid w:val="00242D3A"/>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415BDC"/>
    <w:pPr>
      <w:spacing w:after="100"/>
    </w:pPr>
  </w:style>
  <w:style w:type="paragraph" w:styleId="TOC2">
    <w:name w:val="toc 2"/>
    <w:basedOn w:val="Normal"/>
    <w:next w:val="Normal"/>
    <w:autoRedefine/>
    <w:uiPriority w:val="39"/>
    <w:unhideWhenUsed/>
    <w:rsid w:val="00415BDC"/>
    <w:pPr>
      <w:spacing w:after="100"/>
      <w:ind w:left="220"/>
    </w:pPr>
  </w:style>
  <w:style w:type="paragraph" w:styleId="TOC4">
    <w:name w:val="toc 4"/>
    <w:basedOn w:val="Normal"/>
    <w:next w:val="Normal"/>
    <w:autoRedefine/>
    <w:uiPriority w:val="39"/>
    <w:unhideWhenUsed/>
    <w:rsid w:val="00415BDC"/>
    <w:pPr>
      <w:spacing w:after="100"/>
      <w:ind w:left="660"/>
    </w:pPr>
    <w:rPr>
      <w:rFonts w:eastAsiaTheme="minorEastAsia"/>
      <w:kern w:val="0"/>
      <w14:ligatures w14:val="none"/>
    </w:rPr>
  </w:style>
  <w:style w:type="paragraph" w:styleId="TOC5">
    <w:name w:val="toc 5"/>
    <w:basedOn w:val="Normal"/>
    <w:next w:val="Normal"/>
    <w:autoRedefine/>
    <w:uiPriority w:val="39"/>
    <w:unhideWhenUsed/>
    <w:rsid w:val="00415BDC"/>
    <w:pPr>
      <w:spacing w:after="100"/>
      <w:ind w:left="880"/>
    </w:pPr>
    <w:rPr>
      <w:rFonts w:eastAsiaTheme="minorEastAsia"/>
      <w:kern w:val="0"/>
      <w14:ligatures w14:val="none"/>
    </w:rPr>
  </w:style>
  <w:style w:type="paragraph" w:styleId="TOC6">
    <w:name w:val="toc 6"/>
    <w:basedOn w:val="Normal"/>
    <w:next w:val="Normal"/>
    <w:autoRedefine/>
    <w:uiPriority w:val="39"/>
    <w:unhideWhenUsed/>
    <w:rsid w:val="00415BDC"/>
    <w:pPr>
      <w:spacing w:after="100"/>
      <w:ind w:left="1100"/>
    </w:pPr>
    <w:rPr>
      <w:rFonts w:eastAsiaTheme="minorEastAsia"/>
      <w:kern w:val="0"/>
      <w14:ligatures w14:val="none"/>
    </w:rPr>
  </w:style>
  <w:style w:type="paragraph" w:styleId="TOC7">
    <w:name w:val="toc 7"/>
    <w:basedOn w:val="Normal"/>
    <w:next w:val="Normal"/>
    <w:autoRedefine/>
    <w:uiPriority w:val="39"/>
    <w:unhideWhenUsed/>
    <w:rsid w:val="00415BDC"/>
    <w:pPr>
      <w:spacing w:after="100"/>
      <w:ind w:left="1320"/>
    </w:pPr>
    <w:rPr>
      <w:rFonts w:eastAsiaTheme="minorEastAsia"/>
      <w:kern w:val="0"/>
      <w14:ligatures w14:val="none"/>
    </w:rPr>
  </w:style>
  <w:style w:type="paragraph" w:styleId="TOC8">
    <w:name w:val="toc 8"/>
    <w:basedOn w:val="Normal"/>
    <w:next w:val="Normal"/>
    <w:autoRedefine/>
    <w:uiPriority w:val="39"/>
    <w:unhideWhenUsed/>
    <w:rsid w:val="00415BDC"/>
    <w:pPr>
      <w:spacing w:after="100"/>
      <w:ind w:left="1540"/>
    </w:pPr>
    <w:rPr>
      <w:rFonts w:eastAsiaTheme="minorEastAsia"/>
      <w:kern w:val="0"/>
      <w14:ligatures w14:val="none"/>
    </w:rPr>
  </w:style>
  <w:style w:type="paragraph" w:styleId="TOC9">
    <w:name w:val="toc 9"/>
    <w:basedOn w:val="Normal"/>
    <w:next w:val="Normal"/>
    <w:autoRedefine/>
    <w:uiPriority w:val="39"/>
    <w:unhideWhenUsed/>
    <w:rsid w:val="00415BDC"/>
    <w:pPr>
      <w:spacing w:after="100"/>
      <w:ind w:left="1760"/>
    </w:pPr>
    <w:rPr>
      <w:rFonts w:eastAsiaTheme="minorEastAsia"/>
      <w:kern w:val="0"/>
      <w14:ligatures w14:val="none"/>
    </w:rPr>
  </w:style>
  <w:style w:type="paragraph" w:styleId="Header">
    <w:name w:val="header"/>
    <w:basedOn w:val="Normal"/>
    <w:link w:val="HeaderChar"/>
    <w:uiPriority w:val="99"/>
    <w:unhideWhenUsed/>
    <w:rsid w:val="00A106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6AB"/>
  </w:style>
  <w:style w:type="paragraph" w:styleId="Footer">
    <w:name w:val="footer"/>
    <w:basedOn w:val="Normal"/>
    <w:link w:val="FooterChar"/>
    <w:uiPriority w:val="99"/>
    <w:unhideWhenUsed/>
    <w:rsid w:val="00A106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6AB"/>
  </w:style>
  <w:style w:type="paragraph" w:customStyle="1" w:styleId="oj-normal">
    <w:name w:val="oj-normal"/>
    <w:basedOn w:val="Normal"/>
    <w:rsid w:val="0077636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oj-ti-grseq-1">
    <w:name w:val="oj-ti-grseq-1"/>
    <w:basedOn w:val="Normal"/>
    <w:rsid w:val="0077636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oj-expanded">
    <w:name w:val="oj-expanded"/>
    <w:basedOn w:val="DefaultParagraphFont"/>
    <w:rsid w:val="0077636B"/>
  </w:style>
  <w:style w:type="paragraph" w:customStyle="1" w:styleId="oj-ti-art">
    <w:name w:val="oj-ti-art"/>
    <w:basedOn w:val="Normal"/>
    <w:rsid w:val="0077636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oj-super">
    <w:name w:val="oj-super"/>
    <w:basedOn w:val="DefaultParagraphFont"/>
    <w:rsid w:val="0077636B"/>
  </w:style>
  <w:style w:type="paragraph" w:styleId="NoSpacing">
    <w:name w:val="No Spacing"/>
    <w:uiPriority w:val="1"/>
    <w:qFormat/>
    <w:rsid w:val="0071079D"/>
    <w:pPr>
      <w:spacing w:after="0" w:line="240" w:lineRule="auto"/>
    </w:pPr>
    <w:rPr>
      <w:rFonts w:eastAsiaTheme="minorEastAsia"/>
      <w:kern w:val="0"/>
      <w14:ligatures w14:val="none"/>
    </w:rPr>
  </w:style>
  <w:style w:type="character" w:customStyle="1" w:styleId="legamendingtext">
    <w:name w:val="legamendingtext"/>
    <w:basedOn w:val="DefaultParagraphFont"/>
    <w:rsid w:val="0042577F"/>
  </w:style>
  <w:style w:type="paragraph" w:customStyle="1" w:styleId="legclearfix">
    <w:name w:val="legclearfix"/>
    <w:basedOn w:val="Normal"/>
    <w:rsid w:val="0042577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egrhs">
    <w:name w:val="legrhs"/>
    <w:basedOn w:val="Normal"/>
    <w:rsid w:val="0042577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A25B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0809">
      <w:bodyDiv w:val="1"/>
      <w:marLeft w:val="0"/>
      <w:marRight w:val="0"/>
      <w:marTop w:val="0"/>
      <w:marBottom w:val="0"/>
      <w:divBdr>
        <w:top w:val="none" w:sz="0" w:space="0" w:color="auto"/>
        <w:left w:val="none" w:sz="0" w:space="0" w:color="auto"/>
        <w:bottom w:val="none" w:sz="0" w:space="0" w:color="auto"/>
        <w:right w:val="none" w:sz="0" w:space="0" w:color="auto"/>
      </w:divBdr>
      <w:divsChild>
        <w:div w:id="1556547481">
          <w:marLeft w:val="0"/>
          <w:marRight w:val="0"/>
          <w:marTop w:val="0"/>
          <w:marBottom w:val="0"/>
          <w:divBdr>
            <w:top w:val="none" w:sz="0" w:space="0" w:color="auto"/>
            <w:left w:val="none" w:sz="0" w:space="0" w:color="auto"/>
            <w:bottom w:val="none" w:sz="0" w:space="0" w:color="auto"/>
            <w:right w:val="none" w:sz="0" w:space="0" w:color="auto"/>
          </w:divBdr>
        </w:div>
      </w:divsChild>
    </w:div>
    <w:div w:id="34277726">
      <w:bodyDiv w:val="1"/>
      <w:marLeft w:val="0"/>
      <w:marRight w:val="0"/>
      <w:marTop w:val="0"/>
      <w:marBottom w:val="0"/>
      <w:divBdr>
        <w:top w:val="none" w:sz="0" w:space="0" w:color="auto"/>
        <w:left w:val="none" w:sz="0" w:space="0" w:color="auto"/>
        <w:bottom w:val="none" w:sz="0" w:space="0" w:color="auto"/>
        <w:right w:val="none" w:sz="0" w:space="0" w:color="auto"/>
      </w:divBdr>
    </w:div>
    <w:div w:id="45180504">
      <w:bodyDiv w:val="1"/>
      <w:marLeft w:val="0"/>
      <w:marRight w:val="0"/>
      <w:marTop w:val="0"/>
      <w:marBottom w:val="0"/>
      <w:divBdr>
        <w:top w:val="none" w:sz="0" w:space="0" w:color="auto"/>
        <w:left w:val="none" w:sz="0" w:space="0" w:color="auto"/>
        <w:bottom w:val="none" w:sz="0" w:space="0" w:color="auto"/>
        <w:right w:val="none" w:sz="0" w:space="0" w:color="auto"/>
      </w:divBdr>
    </w:div>
    <w:div w:id="66853641">
      <w:bodyDiv w:val="1"/>
      <w:marLeft w:val="0"/>
      <w:marRight w:val="0"/>
      <w:marTop w:val="0"/>
      <w:marBottom w:val="0"/>
      <w:divBdr>
        <w:top w:val="none" w:sz="0" w:space="0" w:color="auto"/>
        <w:left w:val="none" w:sz="0" w:space="0" w:color="auto"/>
        <w:bottom w:val="none" w:sz="0" w:space="0" w:color="auto"/>
        <w:right w:val="none" w:sz="0" w:space="0" w:color="auto"/>
      </w:divBdr>
      <w:divsChild>
        <w:div w:id="80807730">
          <w:marLeft w:val="0"/>
          <w:marRight w:val="0"/>
          <w:marTop w:val="0"/>
          <w:marBottom w:val="0"/>
          <w:divBdr>
            <w:top w:val="none" w:sz="0" w:space="0" w:color="auto"/>
            <w:left w:val="none" w:sz="0" w:space="0" w:color="auto"/>
            <w:bottom w:val="none" w:sz="0" w:space="0" w:color="auto"/>
            <w:right w:val="none" w:sz="0" w:space="0" w:color="auto"/>
          </w:divBdr>
        </w:div>
        <w:div w:id="388841559">
          <w:marLeft w:val="0"/>
          <w:marRight w:val="0"/>
          <w:marTop w:val="0"/>
          <w:marBottom w:val="0"/>
          <w:divBdr>
            <w:top w:val="none" w:sz="0" w:space="0" w:color="auto"/>
            <w:left w:val="none" w:sz="0" w:space="0" w:color="auto"/>
            <w:bottom w:val="none" w:sz="0" w:space="0" w:color="auto"/>
            <w:right w:val="none" w:sz="0" w:space="0" w:color="auto"/>
          </w:divBdr>
        </w:div>
        <w:div w:id="1896507503">
          <w:marLeft w:val="0"/>
          <w:marRight w:val="0"/>
          <w:marTop w:val="0"/>
          <w:marBottom w:val="0"/>
          <w:divBdr>
            <w:top w:val="none" w:sz="0" w:space="0" w:color="auto"/>
            <w:left w:val="none" w:sz="0" w:space="0" w:color="auto"/>
            <w:bottom w:val="none" w:sz="0" w:space="0" w:color="auto"/>
            <w:right w:val="none" w:sz="0" w:space="0" w:color="auto"/>
          </w:divBdr>
        </w:div>
        <w:div w:id="1199705502">
          <w:marLeft w:val="0"/>
          <w:marRight w:val="0"/>
          <w:marTop w:val="0"/>
          <w:marBottom w:val="0"/>
          <w:divBdr>
            <w:top w:val="none" w:sz="0" w:space="0" w:color="auto"/>
            <w:left w:val="none" w:sz="0" w:space="0" w:color="auto"/>
            <w:bottom w:val="none" w:sz="0" w:space="0" w:color="auto"/>
            <w:right w:val="none" w:sz="0" w:space="0" w:color="auto"/>
          </w:divBdr>
        </w:div>
      </w:divsChild>
    </w:div>
    <w:div w:id="69619284">
      <w:bodyDiv w:val="1"/>
      <w:marLeft w:val="0"/>
      <w:marRight w:val="0"/>
      <w:marTop w:val="0"/>
      <w:marBottom w:val="0"/>
      <w:divBdr>
        <w:top w:val="none" w:sz="0" w:space="0" w:color="auto"/>
        <w:left w:val="none" w:sz="0" w:space="0" w:color="auto"/>
        <w:bottom w:val="none" w:sz="0" w:space="0" w:color="auto"/>
        <w:right w:val="none" w:sz="0" w:space="0" w:color="auto"/>
      </w:divBdr>
    </w:div>
    <w:div w:id="78254942">
      <w:bodyDiv w:val="1"/>
      <w:marLeft w:val="0"/>
      <w:marRight w:val="0"/>
      <w:marTop w:val="0"/>
      <w:marBottom w:val="0"/>
      <w:divBdr>
        <w:top w:val="none" w:sz="0" w:space="0" w:color="auto"/>
        <w:left w:val="none" w:sz="0" w:space="0" w:color="auto"/>
        <w:bottom w:val="none" w:sz="0" w:space="0" w:color="auto"/>
        <w:right w:val="none" w:sz="0" w:space="0" w:color="auto"/>
      </w:divBdr>
      <w:divsChild>
        <w:div w:id="1008559581">
          <w:marLeft w:val="0"/>
          <w:marRight w:val="0"/>
          <w:marTop w:val="0"/>
          <w:marBottom w:val="0"/>
          <w:divBdr>
            <w:top w:val="none" w:sz="0" w:space="0" w:color="auto"/>
            <w:left w:val="none" w:sz="0" w:space="0" w:color="auto"/>
            <w:bottom w:val="none" w:sz="0" w:space="0" w:color="auto"/>
            <w:right w:val="none" w:sz="0" w:space="0" w:color="auto"/>
          </w:divBdr>
        </w:div>
      </w:divsChild>
    </w:div>
    <w:div w:id="95175758">
      <w:bodyDiv w:val="1"/>
      <w:marLeft w:val="0"/>
      <w:marRight w:val="0"/>
      <w:marTop w:val="0"/>
      <w:marBottom w:val="0"/>
      <w:divBdr>
        <w:top w:val="none" w:sz="0" w:space="0" w:color="auto"/>
        <w:left w:val="none" w:sz="0" w:space="0" w:color="auto"/>
        <w:bottom w:val="none" w:sz="0" w:space="0" w:color="auto"/>
        <w:right w:val="none" w:sz="0" w:space="0" w:color="auto"/>
      </w:divBdr>
    </w:div>
    <w:div w:id="113450903">
      <w:bodyDiv w:val="1"/>
      <w:marLeft w:val="0"/>
      <w:marRight w:val="0"/>
      <w:marTop w:val="0"/>
      <w:marBottom w:val="0"/>
      <w:divBdr>
        <w:top w:val="none" w:sz="0" w:space="0" w:color="auto"/>
        <w:left w:val="none" w:sz="0" w:space="0" w:color="auto"/>
        <w:bottom w:val="none" w:sz="0" w:space="0" w:color="auto"/>
        <w:right w:val="none" w:sz="0" w:space="0" w:color="auto"/>
      </w:divBdr>
    </w:div>
    <w:div w:id="114913414">
      <w:bodyDiv w:val="1"/>
      <w:marLeft w:val="0"/>
      <w:marRight w:val="0"/>
      <w:marTop w:val="0"/>
      <w:marBottom w:val="0"/>
      <w:divBdr>
        <w:top w:val="none" w:sz="0" w:space="0" w:color="auto"/>
        <w:left w:val="none" w:sz="0" w:space="0" w:color="auto"/>
        <w:bottom w:val="none" w:sz="0" w:space="0" w:color="auto"/>
        <w:right w:val="none" w:sz="0" w:space="0" w:color="auto"/>
      </w:divBdr>
    </w:div>
    <w:div w:id="146748648">
      <w:bodyDiv w:val="1"/>
      <w:marLeft w:val="0"/>
      <w:marRight w:val="0"/>
      <w:marTop w:val="0"/>
      <w:marBottom w:val="0"/>
      <w:divBdr>
        <w:top w:val="none" w:sz="0" w:space="0" w:color="auto"/>
        <w:left w:val="none" w:sz="0" w:space="0" w:color="auto"/>
        <w:bottom w:val="none" w:sz="0" w:space="0" w:color="auto"/>
        <w:right w:val="none" w:sz="0" w:space="0" w:color="auto"/>
      </w:divBdr>
    </w:div>
    <w:div w:id="155149104">
      <w:bodyDiv w:val="1"/>
      <w:marLeft w:val="0"/>
      <w:marRight w:val="0"/>
      <w:marTop w:val="0"/>
      <w:marBottom w:val="0"/>
      <w:divBdr>
        <w:top w:val="none" w:sz="0" w:space="0" w:color="auto"/>
        <w:left w:val="none" w:sz="0" w:space="0" w:color="auto"/>
        <w:bottom w:val="none" w:sz="0" w:space="0" w:color="auto"/>
        <w:right w:val="none" w:sz="0" w:space="0" w:color="auto"/>
      </w:divBdr>
    </w:div>
    <w:div w:id="159781247">
      <w:bodyDiv w:val="1"/>
      <w:marLeft w:val="0"/>
      <w:marRight w:val="0"/>
      <w:marTop w:val="0"/>
      <w:marBottom w:val="0"/>
      <w:divBdr>
        <w:top w:val="none" w:sz="0" w:space="0" w:color="auto"/>
        <w:left w:val="none" w:sz="0" w:space="0" w:color="auto"/>
        <w:bottom w:val="none" w:sz="0" w:space="0" w:color="auto"/>
        <w:right w:val="none" w:sz="0" w:space="0" w:color="auto"/>
      </w:divBdr>
      <w:divsChild>
        <w:div w:id="212472677">
          <w:marLeft w:val="0"/>
          <w:marRight w:val="0"/>
          <w:marTop w:val="0"/>
          <w:marBottom w:val="0"/>
          <w:divBdr>
            <w:top w:val="none" w:sz="0" w:space="0" w:color="auto"/>
            <w:left w:val="none" w:sz="0" w:space="0" w:color="auto"/>
            <w:bottom w:val="none" w:sz="0" w:space="0" w:color="auto"/>
            <w:right w:val="none" w:sz="0" w:space="0" w:color="auto"/>
          </w:divBdr>
        </w:div>
      </w:divsChild>
    </w:div>
    <w:div w:id="194972149">
      <w:bodyDiv w:val="1"/>
      <w:marLeft w:val="0"/>
      <w:marRight w:val="0"/>
      <w:marTop w:val="0"/>
      <w:marBottom w:val="0"/>
      <w:divBdr>
        <w:top w:val="none" w:sz="0" w:space="0" w:color="auto"/>
        <w:left w:val="none" w:sz="0" w:space="0" w:color="auto"/>
        <w:bottom w:val="none" w:sz="0" w:space="0" w:color="auto"/>
        <w:right w:val="none" w:sz="0" w:space="0" w:color="auto"/>
      </w:divBdr>
    </w:div>
    <w:div w:id="207491911">
      <w:bodyDiv w:val="1"/>
      <w:marLeft w:val="0"/>
      <w:marRight w:val="0"/>
      <w:marTop w:val="0"/>
      <w:marBottom w:val="0"/>
      <w:divBdr>
        <w:top w:val="none" w:sz="0" w:space="0" w:color="auto"/>
        <w:left w:val="none" w:sz="0" w:space="0" w:color="auto"/>
        <w:bottom w:val="none" w:sz="0" w:space="0" w:color="auto"/>
        <w:right w:val="none" w:sz="0" w:space="0" w:color="auto"/>
      </w:divBdr>
    </w:div>
    <w:div w:id="232012678">
      <w:bodyDiv w:val="1"/>
      <w:marLeft w:val="0"/>
      <w:marRight w:val="0"/>
      <w:marTop w:val="0"/>
      <w:marBottom w:val="0"/>
      <w:divBdr>
        <w:top w:val="none" w:sz="0" w:space="0" w:color="auto"/>
        <w:left w:val="none" w:sz="0" w:space="0" w:color="auto"/>
        <w:bottom w:val="none" w:sz="0" w:space="0" w:color="auto"/>
        <w:right w:val="none" w:sz="0" w:space="0" w:color="auto"/>
      </w:divBdr>
    </w:div>
    <w:div w:id="235287955">
      <w:bodyDiv w:val="1"/>
      <w:marLeft w:val="0"/>
      <w:marRight w:val="0"/>
      <w:marTop w:val="0"/>
      <w:marBottom w:val="0"/>
      <w:divBdr>
        <w:top w:val="none" w:sz="0" w:space="0" w:color="auto"/>
        <w:left w:val="none" w:sz="0" w:space="0" w:color="auto"/>
        <w:bottom w:val="none" w:sz="0" w:space="0" w:color="auto"/>
        <w:right w:val="none" w:sz="0" w:space="0" w:color="auto"/>
      </w:divBdr>
    </w:div>
    <w:div w:id="329646590">
      <w:bodyDiv w:val="1"/>
      <w:marLeft w:val="0"/>
      <w:marRight w:val="0"/>
      <w:marTop w:val="0"/>
      <w:marBottom w:val="0"/>
      <w:divBdr>
        <w:top w:val="none" w:sz="0" w:space="0" w:color="auto"/>
        <w:left w:val="none" w:sz="0" w:space="0" w:color="auto"/>
        <w:bottom w:val="none" w:sz="0" w:space="0" w:color="auto"/>
        <w:right w:val="none" w:sz="0" w:space="0" w:color="auto"/>
      </w:divBdr>
    </w:div>
    <w:div w:id="339358952">
      <w:bodyDiv w:val="1"/>
      <w:marLeft w:val="0"/>
      <w:marRight w:val="0"/>
      <w:marTop w:val="0"/>
      <w:marBottom w:val="0"/>
      <w:divBdr>
        <w:top w:val="none" w:sz="0" w:space="0" w:color="auto"/>
        <w:left w:val="none" w:sz="0" w:space="0" w:color="auto"/>
        <w:bottom w:val="none" w:sz="0" w:space="0" w:color="auto"/>
        <w:right w:val="none" w:sz="0" w:space="0" w:color="auto"/>
      </w:divBdr>
    </w:div>
    <w:div w:id="345601155">
      <w:bodyDiv w:val="1"/>
      <w:marLeft w:val="0"/>
      <w:marRight w:val="0"/>
      <w:marTop w:val="0"/>
      <w:marBottom w:val="0"/>
      <w:divBdr>
        <w:top w:val="none" w:sz="0" w:space="0" w:color="auto"/>
        <w:left w:val="none" w:sz="0" w:space="0" w:color="auto"/>
        <w:bottom w:val="none" w:sz="0" w:space="0" w:color="auto"/>
        <w:right w:val="none" w:sz="0" w:space="0" w:color="auto"/>
      </w:divBdr>
    </w:div>
    <w:div w:id="347220015">
      <w:bodyDiv w:val="1"/>
      <w:marLeft w:val="0"/>
      <w:marRight w:val="0"/>
      <w:marTop w:val="0"/>
      <w:marBottom w:val="0"/>
      <w:divBdr>
        <w:top w:val="none" w:sz="0" w:space="0" w:color="auto"/>
        <w:left w:val="none" w:sz="0" w:space="0" w:color="auto"/>
        <w:bottom w:val="none" w:sz="0" w:space="0" w:color="auto"/>
        <w:right w:val="none" w:sz="0" w:space="0" w:color="auto"/>
      </w:divBdr>
      <w:divsChild>
        <w:div w:id="2131319121">
          <w:marLeft w:val="0"/>
          <w:marRight w:val="0"/>
          <w:marTop w:val="0"/>
          <w:marBottom w:val="0"/>
          <w:divBdr>
            <w:top w:val="none" w:sz="0" w:space="0" w:color="auto"/>
            <w:left w:val="none" w:sz="0" w:space="0" w:color="auto"/>
            <w:bottom w:val="none" w:sz="0" w:space="0" w:color="auto"/>
            <w:right w:val="none" w:sz="0" w:space="0" w:color="auto"/>
          </w:divBdr>
        </w:div>
      </w:divsChild>
    </w:div>
    <w:div w:id="347684202">
      <w:bodyDiv w:val="1"/>
      <w:marLeft w:val="0"/>
      <w:marRight w:val="0"/>
      <w:marTop w:val="0"/>
      <w:marBottom w:val="0"/>
      <w:divBdr>
        <w:top w:val="none" w:sz="0" w:space="0" w:color="auto"/>
        <w:left w:val="none" w:sz="0" w:space="0" w:color="auto"/>
        <w:bottom w:val="none" w:sz="0" w:space="0" w:color="auto"/>
        <w:right w:val="none" w:sz="0" w:space="0" w:color="auto"/>
      </w:divBdr>
    </w:div>
    <w:div w:id="371880948">
      <w:bodyDiv w:val="1"/>
      <w:marLeft w:val="0"/>
      <w:marRight w:val="0"/>
      <w:marTop w:val="0"/>
      <w:marBottom w:val="0"/>
      <w:divBdr>
        <w:top w:val="none" w:sz="0" w:space="0" w:color="auto"/>
        <w:left w:val="none" w:sz="0" w:space="0" w:color="auto"/>
        <w:bottom w:val="none" w:sz="0" w:space="0" w:color="auto"/>
        <w:right w:val="none" w:sz="0" w:space="0" w:color="auto"/>
      </w:divBdr>
      <w:divsChild>
        <w:div w:id="44332237">
          <w:marLeft w:val="0"/>
          <w:marRight w:val="0"/>
          <w:marTop w:val="0"/>
          <w:marBottom w:val="0"/>
          <w:divBdr>
            <w:top w:val="none" w:sz="0" w:space="0" w:color="auto"/>
            <w:left w:val="none" w:sz="0" w:space="0" w:color="auto"/>
            <w:bottom w:val="none" w:sz="0" w:space="0" w:color="auto"/>
            <w:right w:val="none" w:sz="0" w:space="0" w:color="auto"/>
          </w:divBdr>
        </w:div>
      </w:divsChild>
    </w:div>
    <w:div w:id="382291549">
      <w:bodyDiv w:val="1"/>
      <w:marLeft w:val="0"/>
      <w:marRight w:val="0"/>
      <w:marTop w:val="0"/>
      <w:marBottom w:val="0"/>
      <w:divBdr>
        <w:top w:val="none" w:sz="0" w:space="0" w:color="auto"/>
        <w:left w:val="none" w:sz="0" w:space="0" w:color="auto"/>
        <w:bottom w:val="none" w:sz="0" w:space="0" w:color="auto"/>
        <w:right w:val="none" w:sz="0" w:space="0" w:color="auto"/>
      </w:divBdr>
    </w:div>
    <w:div w:id="389815015">
      <w:bodyDiv w:val="1"/>
      <w:marLeft w:val="0"/>
      <w:marRight w:val="0"/>
      <w:marTop w:val="0"/>
      <w:marBottom w:val="0"/>
      <w:divBdr>
        <w:top w:val="none" w:sz="0" w:space="0" w:color="auto"/>
        <w:left w:val="none" w:sz="0" w:space="0" w:color="auto"/>
        <w:bottom w:val="none" w:sz="0" w:space="0" w:color="auto"/>
        <w:right w:val="none" w:sz="0" w:space="0" w:color="auto"/>
      </w:divBdr>
    </w:div>
    <w:div w:id="407534790">
      <w:bodyDiv w:val="1"/>
      <w:marLeft w:val="0"/>
      <w:marRight w:val="0"/>
      <w:marTop w:val="0"/>
      <w:marBottom w:val="0"/>
      <w:divBdr>
        <w:top w:val="none" w:sz="0" w:space="0" w:color="auto"/>
        <w:left w:val="none" w:sz="0" w:space="0" w:color="auto"/>
        <w:bottom w:val="none" w:sz="0" w:space="0" w:color="auto"/>
        <w:right w:val="none" w:sz="0" w:space="0" w:color="auto"/>
      </w:divBdr>
      <w:divsChild>
        <w:div w:id="639961059">
          <w:marLeft w:val="0"/>
          <w:marRight w:val="0"/>
          <w:marTop w:val="0"/>
          <w:marBottom w:val="0"/>
          <w:divBdr>
            <w:top w:val="none" w:sz="0" w:space="0" w:color="auto"/>
            <w:left w:val="none" w:sz="0" w:space="0" w:color="auto"/>
            <w:bottom w:val="none" w:sz="0" w:space="0" w:color="auto"/>
            <w:right w:val="none" w:sz="0" w:space="0" w:color="auto"/>
          </w:divBdr>
        </w:div>
      </w:divsChild>
    </w:div>
    <w:div w:id="407964562">
      <w:bodyDiv w:val="1"/>
      <w:marLeft w:val="0"/>
      <w:marRight w:val="0"/>
      <w:marTop w:val="0"/>
      <w:marBottom w:val="0"/>
      <w:divBdr>
        <w:top w:val="none" w:sz="0" w:space="0" w:color="auto"/>
        <w:left w:val="none" w:sz="0" w:space="0" w:color="auto"/>
        <w:bottom w:val="none" w:sz="0" w:space="0" w:color="auto"/>
        <w:right w:val="none" w:sz="0" w:space="0" w:color="auto"/>
      </w:divBdr>
      <w:divsChild>
        <w:div w:id="887766585">
          <w:marLeft w:val="0"/>
          <w:marRight w:val="0"/>
          <w:marTop w:val="0"/>
          <w:marBottom w:val="0"/>
          <w:divBdr>
            <w:top w:val="none" w:sz="0" w:space="0" w:color="auto"/>
            <w:left w:val="none" w:sz="0" w:space="0" w:color="auto"/>
            <w:bottom w:val="none" w:sz="0" w:space="0" w:color="auto"/>
            <w:right w:val="none" w:sz="0" w:space="0" w:color="auto"/>
          </w:divBdr>
          <w:divsChild>
            <w:div w:id="549146384">
              <w:marLeft w:val="0"/>
              <w:marRight w:val="0"/>
              <w:marTop w:val="0"/>
              <w:marBottom w:val="0"/>
              <w:divBdr>
                <w:top w:val="none" w:sz="0" w:space="0" w:color="auto"/>
                <w:left w:val="none" w:sz="0" w:space="0" w:color="auto"/>
                <w:bottom w:val="none" w:sz="0" w:space="0" w:color="auto"/>
                <w:right w:val="none" w:sz="0" w:space="0" w:color="auto"/>
              </w:divBdr>
              <w:divsChild>
                <w:div w:id="2000036163">
                  <w:marLeft w:val="0"/>
                  <w:marRight w:val="0"/>
                  <w:marTop w:val="0"/>
                  <w:marBottom w:val="0"/>
                  <w:divBdr>
                    <w:top w:val="none" w:sz="0" w:space="0" w:color="auto"/>
                    <w:left w:val="none" w:sz="0" w:space="0" w:color="auto"/>
                    <w:bottom w:val="none" w:sz="0" w:space="0" w:color="auto"/>
                    <w:right w:val="none" w:sz="0" w:space="0" w:color="auto"/>
                  </w:divBdr>
                  <w:divsChild>
                    <w:div w:id="900017271">
                      <w:marLeft w:val="0"/>
                      <w:marRight w:val="0"/>
                      <w:marTop w:val="0"/>
                      <w:marBottom w:val="0"/>
                      <w:divBdr>
                        <w:top w:val="none" w:sz="0" w:space="0" w:color="auto"/>
                        <w:left w:val="none" w:sz="0" w:space="0" w:color="auto"/>
                        <w:bottom w:val="none" w:sz="0" w:space="0" w:color="auto"/>
                        <w:right w:val="none" w:sz="0" w:space="0" w:color="auto"/>
                      </w:divBdr>
                      <w:divsChild>
                        <w:div w:id="703751487">
                          <w:marLeft w:val="0"/>
                          <w:marRight w:val="0"/>
                          <w:marTop w:val="0"/>
                          <w:marBottom w:val="0"/>
                          <w:divBdr>
                            <w:top w:val="none" w:sz="0" w:space="0" w:color="auto"/>
                            <w:left w:val="none" w:sz="0" w:space="0" w:color="auto"/>
                            <w:bottom w:val="none" w:sz="0" w:space="0" w:color="auto"/>
                            <w:right w:val="none" w:sz="0" w:space="0" w:color="auto"/>
                          </w:divBdr>
                          <w:divsChild>
                            <w:div w:id="75886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453714">
      <w:bodyDiv w:val="1"/>
      <w:marLeft w:val="0"/>
      <w:marRight w:val="0"/>
      <w:marTop w:val="0"/>
      <w:marBottom w:val="0"/>
      <w:divBdr>
        <w:top w:val="none" w:sz="0" w:space="0" w:color="auto"/>
        <w:left w:val="none" w:sz="0" w:space="0" w:color="auto"/>
        <w:bottom w:val="none" w:sz="0" w:space="0" w:color="auto"/>
        <w:right w:val="none" w:sz="0" w:space="0" w:color="auto"/>
      </w:divBdr>
      <w:divsChild>
        <w:div w:id="255674626">
          <w:marLeft w:val="0"/>
          <w:marRight w:val="0"/>
          <w:marTop w:val="0"/>
          <w:marBottom w:val="0"/>
          <w:divBdr>
            <w:top w:val="none" w:sz="0" w:space="0" w:color="auto"/>
            <w:left w:val="none" w:sz="0" w:space="0" w:color="auto"/>
            <w:bottom w:val="none" w:sz="0" w:space="0" w:color="auto"/>
            <w:right w:val="none" w:sz="0" w:space="0" w:color="auto"/>
          </w:divBdr>
        </w:div>
        <w:div w:id="908464086">
          <w:marLeft w:val="0"/>
          <w:marRight w:val="0"/>
          <w:marTop w:val="0"/>
          <w:marBottom w:val="0"/>
          <w:divBdr>
            <w:top w:val="none" w:sz="0" w:space="0" w:color="auto"/>
            <w:left w:val="none" w:sz="0" w:space="0" w:color="auto"/>
            <w:bottom w:val="none" w:sz="0" w:space="0" w:color="auto"/>
            <w:right w:val="none" w:sz="0" w:space="0" w:color="auto"/>
          </w:divBdr>
        </w:div>
      </w:divsChild>
    </w:div>
    <w:div w:id="426115850">
      <w:bodyDiv w:val="1"/>
      <w:marLeft w:val="0"/>
      <w:marRight w:val="0"/>
      <w:marTop w:val="0"/>
      <w:marBottom w:val="0"/>
      <w:divBdr>
        <w:top w:val="none" w:sz="0" w:space="0" w:color="auto"/>
        <w:left w:val="none" w:sz="0" w:space="0" w:color="auto"/>
        <w:bottom w:val="none" w:sz="0" w:space="0" w:color="auto"/>
        <w:right w:val="none" w:sz="0" w:space="0" w:color="auto"/>
      </w:divBdr>
      <w:divsChild>
        <w:div w:id="1537548194">
          <w:marLeft w:val="0"/>
          <w:marRight w:val="0"/>
          <w:marTop w:val="0"/>
          <w:marBottom w:val="0"/>
          <w:divBdr>
            <w:top w:val="none" w:sz="0" w:space="0" w:color="auto"/>
            <w:left w:val="none" w:sz="0" w:space="0" w:color="auto"/>
            <w:bottom w:val="none" w:sz="0" w:space="0" w:color="auto"/>
            <w:right w:val="none" w:sz="0" w:space="0" w:color="auto"/>
          </w:divBdr>
        </w:div>
      </w:divsChild>
    </w:div>
    <w:div w:id="428087102">
      <w:bodyDiv w:val="1"/>
      <w:marLeft w:val="0"/>
      <w:marRight w:val="0"/>
      <w:marTop w:val="0"/>
      <w:marBottom w:val="0"/>
      <w:divBdr>
        <w:top w:val="none" w:sz="0" w:space="0" w:color="auto"/>
        <w:left w:val="none" w:sz="0" w:space="0" w:color="auto"/>
        <w:bottom w:val="none" w:sz="0" w:space="0" w:color="auto"/>
        <w:right w:val="none" w:sz="0" w:space="0" w:color="auto"/>
      </w:divBdr>
      <w:divsChild>
        <w:div w:id="700589126">
          <w:marLeft w:val="0"/>
          <w:marRight w:val="0"/>
          <w:marTop w:val="0"/>
          <w:marBottom w:val="0"/>
          <w:divBdr>
            <w:top w:val="none" w:sz="0" w:space="0" w:color="auto"/>
            <w:left w:val="none" w:sz="0" w:space="0" w:color="auto"/>
            <w:bottom w:val="none" w:sz="0" w:space="0" w:color="auto"/>
            <w:right w:val="none" w:sz="0" w:space="0" w:color="auto"/>
          </w:divBdr>
        </w:div>
      </w:divsChild>
    </w:div>
    <w:div w:id="447050906">
      <w:bodyDiv w:val="1"/>
      <w:marLeft w:val="0"/>
      <w:marRight w:val="0"/>
      <w:marTop w:val="0"/>
      <w:marBottom w:val="0"/>
      <w:divBdr>
        <w:top w:val="none" w:sz="0" w:space="0" w:color="auto"/>
        <w:left w:val="none" w:sz="0" w:space="0" w:color="auto"/>
        <w:bottom w:val="none" w:sz="0" w:space="0" w:color="auto"/>
        <w:right w:val="none" w:sz="0" w:space="0" w:color="auto"/>
      </w:divBdr>
      <w:divsChild>
        <w:div w:id="13003924">
          <w:marLeft w:val="0"/>
          <w:marRight w:val="0"/>
          <w:marTop w:val="0"/>
          <w:marBottom w:val="0"/>
          <w:divBdr>
            <w:top w:val="none" w:sz="0" w:space="0" w:color="auto"/>
            <w:left w:val="none" w:sz="0" w:space="0" w:color="auto"/>
            <w:bottom w:val="none" w:sz="0" w:space="0" w:color="auto"/>
            <w:right w:val="none" w:sz="0" w:space="0" w:color="auto"/>
          </w:divBdr>
        </w:div>
        <w:div w:id="416171366">
          <w:marLeft w:val="0"/>
          <w:marRight w:val="0"/>
          <w:marTop w:val="0"/>
          <w:marBottom w:val="0"/>
          <w:divBdr>
            <w:top w:val="none" w:sz="0" w:space="0" w:color="auto"/>
            <w:left w:val="none" w:sz="0" w:space="0" w:color="auto"/>
            <w:bottom w:val="none" w:sz="0" w:space="0" w:color="auto"/>
            <w:right w:val="none" w:sz="0" w:space="0" w:color="auto"/>
          </w:divBdr>
        </w:div>
        <w:div w:id="1956326091">
          <w:marLeft w:val="0"/>
          <w:marRight w:val="0"/>
          <w:marTop w:val="0"/>
          <w:marBottom w:val="0"/>
          <w:divBdr>
            <w:top w:val="none" w:sz="0" w:space="0" w:color="auto"/>
            <w:left w:val="none" w:sz="0" w:space="0" w:color="auto"/>
            <w:bottom w:val="none" w:sz="0" w:space="0" w:color="auto"/>
            <w:right w:val="none" w:sz="0" w:space="0" w:color="auto"/>
          </w:divBdr>
        </w:div>
        <w:div w:id="1482966685">
          <w:marLeft w:val="0"/>
          <w:marRight w:val="0"/>
          <w:marTop w:val="0"/>
          <w:marBottom w:val="0"/>
          <w:divBdr>
            <w:top w:val="none" w:sz="0" w:space="0" w:color="auto"/>
            <w:left w:val="none" w:sz="0" w:space="0" w:color="auto"/>
            <w:bottom w:val="none" w:sz="0" w:space="0" w:color="auto"/>
            <w:right w:val="none" w:sz="0" w:space="0" w:color="auto"/>
          </w:divBdr>
        </w:div>
      </w:divsChild>
    </w:div>
    <w:div w:id="450822376">
      <w:bodyDiv w:val="1"/>
      <w:marLeft w:val="0"/>
      <w:marRight w:val="0"/>
      <w:marTop w:val="0"/>
      <w:marBottom w:val="0"/>
      <w:divBdr>
        <w:top w:val="none" w:sz="0" w:space="0" w:color="auto"/>
        <w:left w:val="none" w:sz="0" w:space="0" w:color="auto"/>
        <w:bottom w:val="none" w:sz="0" w:space="0" w:color="auto"/>
        <w:right w:val="none" w:sz="0" w:space="0" w:color="auto"/>
      </w:divBdr>
    </w:div>
    <w:div w:id="478498990">
      <w:bodyDiv w:val="1"/>
      <w:marLeft w:val="0"/>
      <w:marRight w:val="0"/>
      <w:marTop w:val="0"/>
      <w:marBottom w:val="0"/>
      <w:divBdr>
        <w:top w:val="none" w:sz="0" w:space="0" w:color="auto"/>
        <w:left w:val="none" w:sz="0" w:space="0" w:color="auto"/>
        <w:bottom w:val="none" w:sz="0" w:space="0" w:color="auto"/>
        <w:right w:val="none" w:sz="0" w:space="0" w:color="auto"/>
      </w:divBdr>
      <w:divsChild>
        <w:div w:id="697121693">
          <w:marLeft w:val="0"/>
          <w:marRight w:val="0"/>
          <w:marTop w:val="0"/>
          <w:marBottom w:val="0"/>
          <w:divBdr>
            <w:top w:val="none" w:sz="0" w:space="0" w:color="auto"/>
            <w:left w:val="none" w:sz="0" w:space="0" w:color="auto"/>
            <w:bottom w:val="none" w:sz="0" w:space="0" w:color="auto"/>
            <w:right w:val="none" w:sz="0" w:space="0" w:color="auto"/>
          </w:divBdr>
        </w:div>
      </w:divsChild>
    </w:div>
    <w:div w:id="496192425">
      <w:bodyDiv w:val="1"/>
      <w:marLeft w:val="0"/>
      <w:marRight w:val="0"/>
      <w:marTop w:val="0"/>
      <w:marBottom w:val="0"/>
      <w:divBdr>
        <w:top w:val="none" w:sz="0" w:space="0" w:color="auto"/>
        <w:left w:val="none" w:sz="0" w:space="0" w:color="auto"/>
        <w:bottom w:val="none" w:sz="0" w:space="0" w:color="auto"/>
        <w:right w:val="none" w:sz="0" w:space="0" w:color="auto"/>
      </w:divBdr>
    </w:div>
    <w:div w:id="496269949">
      <w:bodyDiv w:val="1"/>
      <w:marLeft w:val="0"/>
      <w:marRight w:val="0"/>
      <w:marTop w:val="0"/>
      <w:marBottom w:val="0"/>
      <w:divBdr>
        <w:top w:val="none" w:sz="0" w:space="0" w:color="auto"/>
        <w:left w:val="none" w:sz="0" w:space="0" w:color="auto"/>
        <w:bottom w:val="none" w:sz="0" w:space="0" w:color="auto"/>
        <w:right w:val="none" w:sz="0" w:space="0" w:color="auto"/>
      </w:divBdr>
    </w:div>
    <w:div w:id="498547958">
      <w:bodyDiv w:val="1"/>
      <w:marLeft w:val="0"/>
      <w:marRight w:val="0"/>
      <w:marTop w:val="0"/>
      <w:marBottom w:val="0"/>
      <w:divBdr>
        <w:top w:val="none" w:sz="0" w:space="0" w:color="auto"/>
        <w:left w:val="none" w:sz="0" w:space="0" w:color="auto"/>
        <w:bottom w:val="none" w:sz="0" w:space="0" w:color="auto"/>
        <w:right w:val="none" w:sz="0" w:space="0" w:color="auto"/>
      </w:divBdr>
      <w:divsChild>
        <w:div w:id="440565309">
          <w:marLeft w:val="0"/>
          <w:marRight w:val="0"/>
          <w:marTop w:val="0"/>
          <w:marBottom w:val="0"/>
          <w:divBdr>
            <w:top w:val="none" w:sz="0" w:space="0" w:color="auto"/>
            <w:left w:val="none" w:sz="0" w:space="0" w:color="auto"/>
            <w:bottom w:val="none" w:sz="0" w:space="0" w:color="auto"/>
            <w:right w:val="none" w:sz="0" w:space="0" w:color="auto"/>
          </w:divBdr>
        </w:div>
        <w:div w:id="1471702461">
          <w:marLeft w:val="0"/>
          <w:marRight w:val="0"/>
          <w:marTop w:val="0"/>
          <w:marBottom w:val="0"/>
          <w:divBdr>
            <w:top w:val="none" w:sz="0" w:space="0" w:color="auto"/>
            <w:left w:val="none" w:sz="0" w:space="0" w:color="auto"/>
            <w:bottom w:val="none" w:sz="0" w:space="0" w:color="auto"/>
            <w:right w:val="none" w:sz="0" w:space="0" w:color="auto"/>
          </w:divBdr>
        </w:div>
      </w:divsChild>
    </w:div>
    <w:div w:id="499928394">
      <w:bodyDiv w:val="1"/>
      <w:marLeft w:val="0"/>
      <w:marRight w:val="0"/>
      <w:marTop w:val="0"/>
      <w:marBottom w:val="0"/>
      <w:divBdr>
        <w:top w:val="none" w:sz="0" w:space="0" w:color="auto"/>
        <w:left w:val="none" w:sz="0" w:space="0" w:color="auto"/>
        <w:bottom w:val="none" w:sz="0" w:space="0" w:color="auto"/>
        <w:right w:val="none" w:sz="0" w:space="0" w:color="auto"/>
      </w:divBdr>
    </w:div>
    <w:div w:id="518545862">
      <w:bodyDiv w:val="1"/>
      <w:marLeft w:val="0"/>
      <w:marRight w:val="0"/>
      <w:marTop w:val="0"/>
      <w:marBottom w:val="0"/>
      <w:divBdr>
        <w:top w:val="none" w:sz="0" w:space="0" w:color="auto"/>
        <w:left w:val="none" w:sz="0" w:space="0" w:color="auto"/>
        <w:bottom w:val="none" w:sz="0" w:space="0" w:color="auto"/>
        <w:right w:val="none" w:sz="0" w:space="0" w:color="auto"/>
      </w:divBdr>
    </w:div>
    <w:div w:id="526717517">
      <w:bodyDiv w:val="1"/>
      <w:marLeft w:val="0"/>
      <w:marRight w:val="0"/>
      <w:marTop w:val="0"/>
      <w:marBottom w:val="0"/>
      <w:divBdr>
        <w:top w:val="none" w:sz="0" w:space="0" w:color="auto"/>
        <w:left w:val="none" w:sz="0" w:space="0" w:color="auto"/>
        <w:bottom w:val="none" w:sz="0" w:space="0" w:color="auto"/>
        <w:right w:val="none" w:sz="0" w:space="0" w:color="auto"/>
      </w:divBdr>
      <w:divsChild>
        <w:div w:id="238367912">
          <w:marLeft w:val="0"/>
          <w:marRight w:val="0"/>
          <w:marTop w:val="0"/>
          <w:marBottom w:val="0"/>
          <w:divBdr>
            <w:top w:val="none" w:sz="0" w:space="0" w:color="auto"/>
            <w:left w:val="none" w:sz="0" w:space="0" w:color="auto"/>
            <w:bottom w:val="none" w:sz="0" w:space="0" w:color="auto"/>
            <w:right w:val="none" w:sz="0" w:space="0" w:color="auto"/>
          </w:divBdr>
        </w:div>
      </w:divsChild>
    </w:div>
    <w:div w:id="529226030">
      <w:bodyDiv w:val="1"/>
      <w:marLeft w:val="0"/>
      <w:marRight w:val="0"/>
      <w:marTop w:val="0"/>
      <w:marBottom w:val="0"/>
      <w:divBdr>
        <w:top w:val="none" w:sz="0" w:space="0" w:color="auto"/>
        <w:left w:val="none" w:sz="0" w:space="0" w:color="auto"/>
        <w:bottom w:val="none" w:sz="0" w:space="0" w:color="auto"/>
        <w:right w:val="none" w:sz="0" w:space="0" w:color="auto"/>
      </w:divBdr>
    </w:div>
    <w:div w:id="535314137">
      <w:bodyDiv w:val="1"/>
      <w:marLeft w:val="0"/>
      <w:marRight w:val="0"/>
      <w:marTop w:val="0"/>
      <w:marBottom w:val="0"/>
      <w:divBdr>
        <w:top w:val="none" w:sz="0" w:space="0" w:color="auto"/>
        <w:left w:val="none" w:sz="0" w:space="0" w:color="auto"/>
        <w:bottom w:val="none" w:sz="0" w:space="0" w:color="auto"/>
        <w:right w:val="none" w:sz="0" w:space="0" w:color="auto"/>
      </w:divBdr>
      <w:divsChild>
        <w:div w:id="1754274445">
          <w:marLeft w:val="0"/>
          <w:marRight w:val="0"/>
          <w:marTop w:val="0"/>
          <w:marBottom w:val="0"/>
          <w:divBdr>
            <w:top w:val="none" w:sz="0" w:space="0" w:color="auto"/>
            <w:left w:val="none" w:sz="0" w:space="0" w:color="auto"/>
            <w:bottom w:val="none" w:sz="0" w:space="0" w:color="auto"/>
            <w:right w:val="none" w:sz="0" w:space="0" w:color="auto"/>
          </w:divBdr>
        </w:div>
      </w:divsChild>
    </w:div>
    <w:div w:id="540629444">
      <w:bodyDiv w:val="1"/>
      <w:marLeft w:val="0"/>
      <w:marRight w:val="0"/>
      <w:marTop w:val="0"/>
      <w:marBottom w:val="0"/>
      <w:divBdr>
        <w:top w:val="none" w:sz="0" w:space="0" w:color="auto"/>
        <w:left w:val="none" w:sz="0" w:space="0" w:color="auto"/>
        <w:bottom w:val="none" w:sz="0" w:space="0" w:color="auto"/>
        <w:right w:val="none" w:sz="0" w:space="0" w:color="auto"/>
      </w:divBdr>
    </w:div>
    <w:div w:id="543761449">
      <w:bodyDiv w:val="1"/>
      <w:marLeft w:val="0"/>
      <w:marRight w:val="0"/>
      <w:marTop w:val="0"/>
      <w:marBottom w:val="0"/>
      <w:divBdr>
        <w:top w:val="none" w:sz="0" w:space="0" w:color="auto"/>
        <w:left w:val="none" w:sz="0" w:space="0" w:color="auto"/>
        <w:bottom w:val="none" w:sz="0" w:space="0" w:color="auto"/>
        <w:right w:val="none" w:sz="0" w:space="0" w:color="auto"/>
      </w:divBdr>
    </w:div>
    <w:div w:id="553078111">
      <w:bodyDiv w:val="1"/>
      <w:marLeft w:val="0"/>
      <w:marRight w:val="0"/>
      <w:marTop w:val="0"/>
      <w:marBottom w:val="0"/>
      <w:divBdr>
        <w:top w:val="none" w:sz="0" w:space="0" w:color="auto"/>
        <w:left w:val="none" w:sz="0" w:space="0" w:color="auto"/>
        <w:bottom w:val="none" w:sz="0" w:space="0" w:color="auto"/>
        <w:right w:val="none" w:sz="0" w:space="0" w:color="auto"/>
      </w:divBdr>
      <w:divsChild>
        <w:div w:id="1117944171">
          <w:marLeft w:val="0"/>
          <w:marRight w:val="0"/>
          <w:marTop w:val="0"/>
          <w:marBottom w:val="0"/>
          <w:divBdr>
            <w:top w:val="none" w:sz="0" w:space="0" w:color="auto"/>
            <w:left w:val="none" w:sz="0" w:space="0" w:color="auto"/>
            <w:bottom w:val="none" w:sz="0" w:space="0" w:color="auto"/>
            <w:right w:val="none" w:sz="0" w:space="0" w:color="auto"/>
          </w:divBdr>
          <w:divsChild>
            <w:div w:id="1278870376">
              <w:marLeft w:val="0"/>
              <w:marRight w:val="0"/>
              <w:marTop w:val="0"/>
              <w:marBottom w:val="0"/>
              <w:divBdr>
                <w:top w:val="none" w:sz="0" w:space="0" w:color="auto"/>
                <w:left w:val="none" w:sz="0" w:space="0" w:color="auto"/>
                <w:bottom w:val="none" w:sz="0" w:space="0" w:color="auto"/>
                <w:right w:val="none" w:sz="0" w:space="0" w:color="auto"/>
              </w:divBdr>
              <w:divsChild>
                <w:div w:id="222720717">
                  <w:marLeft w:val="0"/>
                  <w:marRight w:val="0"/>
                  <w:marTop w:val="0"/>
                  <w:marBottom w:val="0"/>
                  <w:divBdr>
                    <w:top w:val="none" w:sz="0" w:space="0" w:color="auto"/>
                    <w:left w:val="none" w:sz="0" w:space="0" w:color="auto"/>
                    <w:bottom w:val="none" w:sz="0" w:space="0" w:color="auto"/>
                    <w:right w:val="none" w:sz="0" w:space="0" w:color="auto"/>
                  </w:divBdr>
                  <w:divsChild>
                    <w:div w:id="673190547">
                      <w:marLeft w:val="0"/>
                      <w:marRight w:val="0"/>
                      <w:marTop w:val="0"/>
                      <w:marBottom w:val="0"/>
                      <w:divBdr>
                        <w:top w:val="none" w:sz="0" w:space="0" w:color="auto"/>
                        <w:left w:val="none" w:sz="0" w:space="0" w:color="auto"/>
                        <w:bottom w:val="none" w:sz="0" w:space="0" w:color="auto"/>
                        <w:right w:val="none" w:sz="0" w:space="0" w:color="auto"/>
                      </w:divBdr>
                      <w:divsChild>
                        <w:div w:id="291641113">
                          <w:marLeft w:val="0"/>
                          <w:marRight w:val="0"/>
                          <w:marTop w:val="0"/>
                          <w:marBottom w:val="0"/>
                          <w:divBdr>
                            <w:top w:val="none" w:sz="0" w:space="0" w:color="auto"/>
                            <w:left w:val="none" w:sz="0" w:space="0" w:color="auto"/>
                            <w:bottom w:val="none" w:sz="0" w:space="0" w:color="auto"/>
                            <w:right w:val="none" w:sz="0" w:space="0" w:color="auto"/>
                          </w:divBdr>
                          <w:divsChild>
                            <w:div w:id="172009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7107624">
      <w:bodyDiv w:val="1"/>
      <w:marLeft w:val="0"/>
      <w:marRight w:val="0"/>
      <w:marTop w:val="0"/>
      <w:marBottom w:val="0"/>
      <w:divBdr>
        <w:top w:val="none" w:sz="0" w:space="0" w:color="auto"/>
        <w:left w:val="none" w:sz="0" w:space="0" w:color="auto"/>
        <w:bottom w:val="none" w:sz="0" w:space="0" w:color="auto"/>
        <w:right w:val="none" w:sz="0" w:space="0" w:color="auto"/>
      </w:divBdr>
    </w:div>
    <w:div w:id="620113729">
      <w:bodyDiv w:val="1"/>
      <w:marLeft w:val="0"/>
      <w:marRight w:val="0"/>
      <w:marTop w:val="0"/>
      <w:marBottom w:val="0"/>
      <w:divBdr>
        <w:top w:val="none" w:sz="0" w:space="0" w:color="auto"/>
        <w:left w:val="none" w:sz="0" w:space="0" w:color="auto"/>
        <w:bottom w:val="none" w:sz="0" w:space="0" w:color="auto"/>
        <w:right w:val="none" w:sz="0" w:space="0" w:color="auto"/>
      </w:divBdr>
      <w:divsChild>
        <w:div w:id="290137782">
          <w:marLeft w:val="0"/>
          <w:marRight w:val="0"/>
          <w:marTop w:val="0"/>
          <w:marBottom w:val="0"/>
          <w:divBdr>
            <w:top w:val="none" w:sz="0" w:space="0" w:color="auto"/>
            <w:left w:val="none" w:sz="0" w:space="0" w:color="auto"/>
            <w:bottom w:val="none" w:sz="0" w:space="0" w:color="auto"/>
            <w:right w:val="none" w:sz="0" w:space="0" w:color="auto"/>
          </w:divBdr>
        </w:div>
      </w:divsChild>
    </w:div>
    <w:div w:id="637876857">
      <w:bodyDiv w:val="1"/>
      <w:marLeft w:val="0"/>
      <w:marRight w:val="0"/>
      <w:marTop w:val="0"/>
      <w:marBottom w:val="0"/>
      <w:divBdr>
        <w:top w:val="none" w:sz="0" w:space="0" w:color="auto"/>
        <w:left w:val="none" w:sz="0" w:space="0" w:color="auto"/>
        <w:bottom w:val="none" w:sz="0" w:space="0" w:color="auto"/>
        <w:right w:val="none" w:sz="0" w:space="0" w:color="auto"/>
      </w:divBdr>
      <w:divsChild>
        <w:div w:id="520164951">
          <w:marLeft w:val="0"/>
          <w:marRight w:val="0"/>
          <w:marTop w:val="0"/>
          <w:marBottom w:val="0"/>
          <w:divBdr>
            <w:top w:val="none" w:sz="0" w:space="0" w:color="auto"/>
            <w:left w:val="none" w:sz="0" w:space="0" w:color="auto"/>
            <w:bottom w:val="none" w:sz="0" w:space="0" w:color="auto"/>
            <w:right w:val="none" w:sz="0" w:space="0" w:color="auto"/>
          </w:divBdr>
        </w:div>
      </w:divsChild>
    </w:div>
    <w:div w:id="715273510">
      <w:bodyDiv w:val="1"/>
      <w:marLeft w:val="0"/>
      <w:marRight w:val="0"/>
      <w:marTop w:val="0"/>
      <w:marBottom w:val="0"/>
      <w:divBdr>
        <w:top w:val="none" w:sz="0" w:space="0" w:color="auto"/>
        <w:left w:val="none" w:sz="0" w:space="0" w:color="auto"/>
        <w:bottom w:val="none" w:sz="0" w:space="0" w:color="auto"/>
        <w:right w:val="none" w:sz="0" w:space="0" w:color="auto"/>
      </w:divBdr>
    </w:div>
    <w:div w:id="723335256">
      <w:bodyDiv w:val="1"/>
      <w:marLeft w:val="0"/>
      <w:marRight w:val="0"/>
      <w:marTop w:val="0"/>
      <w:marBottom w:val="0"/>
      <w:divBdr>
        <w:top w:val="none" w:sz="0" w:space="0" w:color="auto"/>
        <w:left w:val="none" w:sz="0" w:space="0" w:color="auto"/>
        <w:bottom w:val="none" w:sz="0" w:space="0" w:color="auto"/>
        <w:right w:val="none" w:sz="0" w:space="0" w:color="auto"/>
      </w:divBdr>
      <w:divsChild>
        <w:div w:id="406849144">
          <w:marLeft w:val="0"/>
          <w:marRight w:val="0"/>
          <w:marTop w:val="0"/>
          <w:marBottom w:val="0"/>
          <w:divBdr>
            <w:top w:val="none" w:sz="0" w:space="0" w:color="auto"/>
            <w:left w:val="none" w:sz="0" w:space="0" w:color="auto"/>
            <w:bottom w:val="none" w:sz="0" w:space="0" w:color="auto"/>
            <w:right w:val="none" w:sz="0" w:space="0" w:color="auto"/>
          </w:divBdr>
        </w:div>
      </w:divsChild>
    </w:div>
    <w:div w:id="733892786">
      <w:bodyDiv w:val="1"/>
      <w:marLeft w:val="0"/>
      <w:marRight w:val="0"/>
      <w:marTop w:val="0"/>
      <w:marBottom w:val="0"/>
      <w:divBdr>
        <w:top w:val="none" w:sz="0" w:space="0" w:color="auto"/>
        <w:left w:val="none" w:sz="0" w:space="0" w:color="auto"/>
        <w:bottom w:val="none" w:sz="0" w:space="0" w:color="auto"/>
        <w:right w:val="none" w:sz="0" w:space="0" w:color="auto"/>
      </w:divBdr>
    </w:div>
    <w:div w:id="745570213">
      <w:bodyDiv w:val="1"/>
      <w:marLeft w:val="0"/>
      <w:marRight w:val="0"/>
      <w:marTop w:val="0"/>
      <w:marBottom w:val="0"/>
      <w:divBdr>
        <w:top w:val="none" w:sz="0" w:space="0" w:color="auto"/>
        <w:left w:val="none" w:sz="0" w:space="0" w:color="auto"/>
        <w:bottom w:val="none" w:sz="0" w:space="0" w:color="auto"/>
        <w:right w:val="none" w:sz="0" w:space="0" w:color="auto"/>
      </w:divBdr>
      <w:divsChild>
        <w:div w:id="889342866">
          <w:marLeft w:val="0"/>
          <w:marRight w:val="0"/>
          <w:marTop w:val="0"/>
          <w:marBottom w:val="0"/>
          <w:divBdr>
            <w:top w:val="none" w:sz="0" w:space="0" w:color="auto"/>
            <w:left w:val="none" w:sz="0" w:space="0" w:color="auto"/>
            <w:bottom w:val="none" w:sz="0" w:space="0" w:color="auto"/>
            <w:right w:val="none" w:sz="0" w:space="0" w:color="auto"/>
          </w:divBdr>
        </w:div>
      </w:divsChild>
    </w:div>
    <w:div w:id="803501540">
      <w:bodyDiv w:val="1"/>
      <w:marLeft w:val="0"/>
      <w:marRight w:val="0"/>
      <w:marTop w:val="0"/>
      <w:marBottom w:val="0"/>
      <w:divBdr>
        <w:top w:val="none" w:sz="0" w:space="0" w:color="auto"/>
        <w:left w:val="none" w:sz="0" w:space="0" w:color="auto"/>
        <w:bottom w:val="none" w:sz="0" w:space="0" w:color="auto"/>
        <w:right w:val="none" w:sz="0" w:space="0" w:color="auto"/>
      </w:divBdr>
    </w:div>
    <w:div w:id="828062506">
      <w:bodyDiv w:val="1"/>
      <w:marLeft w:val="0"/>
      <w:marRight w:val="0"/>
      <w:marTop w:val="0"/>
      <w:marBottom w:val="0"/>
      <w:divBdr>
        <w:top w:val="none" w:sz="0" w:space="0" w:color="auto"/>
        <w:left w:val="none" w:sz="0" w:space="0" w:color="auto"/>
        <w:bottom w:val="none" w:sz="0" w:space="0" w:color="auto"/>
        <w:right w:val="none" w:sz="0" w:space="0" w:color="auto"/>
      </w:divBdr>
    </w:div>
    <w:div w:id="830098522">
      <w:bodyDiv w:val="1"/>
      <w:marLeft w:val="0"/>
      <w:marRight w:val="0"/>
      <w:marTop w:val="0"/>
      <w:marBottom w:val="0"/>
      <w:divBdr>
        <w:top w:val="none" w:sz="0" w:space="0" w:color="auto"/>
        <w:left w:val="none" w:sz="0" w:space="0" w:color="auto"/>
        <w:bottom w:val="none" w:sz="0" w:space="0" w:color="auto"/>
        <w:right w:val="none" w:sz="0" w:space="0" w:color="auto"/>
      </w:divBdr>
    </w:div>
    <w:div w:id="882593716">
      <w:bodyDiv w:val="1"/>
      <w:marLeft w:val="0"/>
      <w:marRight w:val="0"/>
      <w:marTop w:val="0"/>
      <w:marBottom w:val="0"/>
      <w:divBdr>
        <w:top w:val="none" w:sz="0" w:space="0" w:color="auto"/>
        <w:left w:val="none" w:sz="0" w:space="0" w:color="auto"/>
        <w:bottom w:val="none" w:sz="0" w:space="0" w:color="auto"/>
        <w:right w:val="none" w:sz="0" w:space="0" w:color="auto"/>
      </w:divBdr>
      <w:divsChild>
        <w:div w:id="305476980">
          <w:marLeft w:val="0"/>
          <w:marRight w:val="0"/>
          <w:marTop w:val="0"/>
          <w:marBottom w:val="0"/>
          <w:divBdr>
            <w:top w:val="none" w:sz="0" w:space="0" w:color="auto"/>
            <w:left w:val="none" w:sz="0" w:space="0" w:color="auto"/>
            <w:bottom w:val="none" w:sz="0" w:space="0" w:color="auto"/>
            <w:right w:val="none" w:sz="0" w:space="0" w:color="auto"/>
          </w:divBdr>
        </w:div>
      </w:divsChild>
    </w:div>
    <w:div w:id="898327597">
      <w:bodyDiv w:val="1"/>
      <w:marLeft w:val="0"/>
      <w:marRight w:val="0"/>
      <w:marTop w:val="0"/>
      <w:marBottom w:val="0"/>
      <w:divBdr>
        <w:top w:val="none" w:sz="0" w:space="0" w:color="auto"/>
        <w:left w:val="none" w:sz="0" w:space="0" w:color="auto"/>
        <w:bottom w:val="none" w:sz="0" w:space="0" w:color="auto"/>
        <w:right w:val="none" w:sz="0" w:space="0" w:color="auto"/>
      </w:divBdr>
    </w:div>
    <w:div w:id="901257174">
      <w:bodyDiv w:val="1"/>
      <w:marLeft w:val="0"/>
      <w:marRight w:val="0"/>
      <w:marTop w:val="0"/>
      <w:marBottom w:val="0"/>
      <w:divBdr>
        <w:top w:val="none" w:sz="0" w:space="0" w:color="auto"/>
        <w:left w:val="none" w:sz="0" w:space="0" w:color="auto"/>
        <w:bottom w:val="none" w:sz="0" w:space="0" w:color="auto"/>
        <w:right w:val="none" w:sz="0" w:space="0" w:color="auto"/>
      </w:divBdr>
    </w:div>
    <w:div w:id="921182885">
      <w:bodyDiv w:val="1"/>
      <w:marLeft w:val="0"/>
      <w:marRight w:val="0"/>
      <w:marTop w:val="0"/>
      <w:marBottom w:val="0"/>
      <w:divBdr>
        <w:top w:val="none" w:sz="0" w:space="0" w:color="auto"/>
        <w:left w:val="none" w:sz="0" w:space="0" w:color="auto"/>
        <w:bottom w:val="none" w:sz="0" w:space="0" w:color="auto"/>
        <w:right w:val="none" w:sz="0" w:space="0" w:color="auto"/>
      </w:divBdr>
    </w:div>
    <w:div w:id="931668483">
      <w:bodyDiv w:val="1"/>
      <w:marLeft w:val="0"/>
      <w:marRight w:val="0"/>
      <w:marTop w:val="0"/>
      <w:marBottom w:val="0"/>
      <w:divBdr>
        <w:top w:val="none" w:sz="0" w:space="0" w:color="auto"/>
        <w:left w:val="none" w:sz="0" w:space="0" w:color="auto"/>
        <w:bottom w:val="none" w:sz="0" w:space="0" w:color="auto"/>
        <w:right w:val="none" w:sz="0" w:space="0" w:color="auto"/>
      </w:divBdr>
    </w:div>
    <w:div w:id="992955265">
      <w:bodyDiv w:val="1"/>
      <w:marLeft w:val="0"/>
      <w:marRight w:val="0"/>
      <w:marTop w:val="0"/>
      <w:marBottom w:val="0"/>
      <w:divBdr>
        <w:top w:val="none" w:sz="0" w:space="0" w:color="auto"/>
        <w:left w:val="none" w:sz="0" w:space="0" w:color="auto"/>
        <w:bottom w:val="none" w:sz="0" w:space="0" w:color="auto"/>
        <w:right w:val="none" w:sz="0" w:space="0" w:color="auto"/>
      </w:divBdr>
    </w:div>
    <w:div w:id="993531264">
      <w:bodyDiv w:val="1"/>
      <w:marLeft w:val="0"/>
      <w:marRight w:val="0"/>
      <w:marTop w:val="0"/>
      <w:marBottom w:val="0"/>
      <w:divBdr>
        <w:top w:val="none" w:sz="0" w:space="0" w:color="auto"/>
        <w:left w:val="none" w:sz="0" w:space="0" w:color="auto"/>
        <w:bottom w:val="none" w:sz="0" w:space="0" w:color="auto"/>
        <w:right w:val="none" w:sz="0" w:space="0" w:color="auto"/>
      </w:divBdr>
    </w:div>
    <w:div w:id="1005396641">
      <w:bodyDiv w:val="1"/>
      <w:marLeft w:val="0"/>
      <w:marRight w:val="0"/>
      <w:marTop w:val="0"/>
      <w:marBottom w:val="0"/>
      <w:divBdr>
        <w:top w:val="none" w:sz="0" w:space="0" w:color="auto"/>
        <w:left w:val="none" w:sz="0" w:space="0" w:color="auto"/>
        <w:bottom w:val="none" w:sz="0" w:space="0" w:color="auto"/>
        <w:right w:val="none" w:sz="0" w:space="0" w:color="auto"/>
      </w:divBdr>
      <w:divsChild>
        <w:div w:id="227039663">
          <w:marLeft w:val="0"/>
          <w:marRight w:val="0"/>
          <w:marTop w:val="0"/>
          <w:marBottom w:val="0"/>
          <w:divBdr>
            <w:top w:val="none" w:sz="0" w:space="0" w:color="auto"/>
            <w:left w:val="none" w:sz="0" w:space="0" w:color="auto"/>
            <w:bottom w:val="none" w:sz="0" w:space="0" w:color="auto"/>
            <w:right w:val="none" w:sz="0" w:space="0" w:color="auto"/>
          </w:divBdr>
        </w:div>
      </w:divsChild>
    </w:div>
    <w:div w:id="1028868138">
      <w:bodyDiv w:val="1"/>
      <w:marLeft w:val="0"/>
      <w:marRight w:val="0"/>
      <w:marTop w:val="0"/>
      <w:marBottom w:val="0"/>
      <w:divBdr>
        <w:top w:val="none" w:sz="0" w:space="0" w:color="auto"/>
        <w:left w:val="none" w:sz="0" w:space="0" w:color="auto"/>
        <w:bottom w:val="none" w:sz="0" w:space="0" w:color="auto"/>
        <w:right w:val="none" w:sz="0" w:space="0" w:color="auto"/>
      </w:divBdr>
      <w:divsChild>
        <w:div w:id="166946675">
          <w:marLeft w:val="0"/>
          <w:marRight w:val="0"/>
          <w:marTop w:val="0"/>
          <w:marBottom w:val="0"/>
          <w:divBdr>
            <w:top w:val="none" w:sz="0" w:space="0" w:color="auto"/>
            <w:left w:val="none" w:sz="0" w:space="0" w:color="auto"/>
            <w:bottom w:val="none" w:sz="0" w:space="0" w:color="auto"/>
            <w:right w:val="none" w:sz="0" w:space="0" w:color="auto"/>
          </w:divBdr>
        </w:div>
      </w:divsChild>
    </w:div>
    <w:div w:id="1028994140">
      <w:bodyDiv w:val="1"/>
      <w:marLeft w:val="0"/>
      <w:marRight w:val="0"/>
      <w:marTop w:val="0"/>
      <w:marBottom w:val="0"/>
      <w:divBdr>
        <w:top w:val="none" w:sz="0" w:space="0" w:color="auto"/>
        <w:left w:val="none" w:sz="0" w:space="0" w:color="auto"/>
        <w:bottom w:val="none" w:sz="0" w:space="0" w:color="auto"/>
        <w:right w:val="none" w:sz="0" w:space="0" w:color="auto"/>
      </w:divBdr>
      <w:divsChild>
        <w:div w:id="740099220">
          <w:marLeft w:val="0"/>
          <w:marRight w:val="0"/>
          <w:marTop w:val="0"/>
          <w:marBottom w:val="0"/>
          <w:divBdr>
            <w:top w:val="none" w:sz="0" w:space="0" w:color="auto"/>
            <w:left w:val="none" w:sz="0" w:space="0" w:color="auto"/>
            <w:bottom w:val="none" w:sz="0" w:space="0" w:color="auto"/>
            <w:right w:val="none" w:sz="0" w:space="0" w:color="auto"/>
          </w:divBdr>
        </w:div>
      </w:divsChild>
    </w:div>
    <w:div w:id="1055198778">
      <w:bodyDiv w:val="1"/>
      <w:marLeft w:val="0"/>
      <w:marRight w:val="0"/>
      <w:marTop w:val="0"/>
      <w:marBottom w:val="0"/>
      <w:divBdr>
        <w:top w:val="none" w:sz="0" w:space="0" w:color="auto"/>
        <w:left w:val="none" w:sz="0" w:space="0" w:color="auto"/>
        <w:bottom w:val="none" w:sz="0" w:space="0" w:color="auto"/>
        <w:right w:val="none" w:sz="0" w:space="0" w:color="auto"/>
      </w:divBdr>
      <w:divsChild>
        <w:div w:id="1357343930">
          <w:marLeft w:val="0"/>
          <w:marRight w:val="0"/>
          <w:marTop w:val="0"/>
          <w:marBottom w:val="0"/>
          <w:divBdr>
            <w:top w:val="none" w:sz="0" w:space="0" w:color="auto"/>
            <w:left w:val="none" w:sz="0" w:space="0" w:color="auto"/>
            <w:bottom w:val="none" w:sz="0" w:space="0" w:color="auto"/>
            <w:right w:val="none" w:sz="0" w:space="0" w:color="auto"/>
          </w:divBdr>
        </w:div>
      </w:divsChild>
    </w:div>
    <w:div w:id="1070269729">
      <w:bodyDiv w:val="1"/>
      <w:marLeft w:val="0"/>
      <w:marRight w:val="0"/>
      <w:marTop w:val="0"/>
      <w:marBottom w:val="0"/>
      <w:divBdr>
        <w:top w:val="none" w:sz="0" w:space="0" w:color="auto"/>
        <w:left w:val="none" w:sz="0" w:space="0" w:color="auto"/>
        <w:bottom w:val="none" w:sz="0" w:space="0" w:color="auto"/>
        <w:right w:val="none" w:sz="0" w:space="0" w:color="auto"/>
      </w:divBdr>
      <w:divsChild>
        <w:div w:id="142083874">
          <w:marLeft w:val="0"/>
          <w:marRight w:val="0"/>
          <w:marTop w:val="0"/>
          <w:marBottom w:val="0"/>
          <w:divBdr>
            <w:top w:val="none" w:sz="0" w:space="0" w:color="auto"/>
            <w:left w:val="none" w:sz="0" w:space="0" w:color="auto"/>
            <w:bottom w:val="none" w:sz="0" w:space="0" w:color="auto"/>
            <w:right w:val="none" w:sz="0" w:space="0" w:color="auto"/>
          </w:divBdr>
        </w:div>
      </w:divsChild>
    </w:div>
    <w:div w:id="1079325678">
      <w:bodyDiv w:val="1"/>
      <w:marLeft w:val="0"/>
      <w:marRight w:val="0"/>
      <w:marTop w:val="0"/>
      <w:marBottom w:val="0"/>
      <w:divBdr>
        <w:top w:val="none" w:sz="0" w:space="0" w:color="auto"/>
        <w:left w:val="none" w:sz="0" w:space="0" w:color="auto"/>
        <w:bottom w:val="none" w:sz="0" w:space="0" w:color="auto"/>
        <w:right w:val="none" w:sz="0" w:space="0" w:color="auto"/>
      </w:divBdr>
      <w:divsChild>
        <w:div w:id="1469128761">
          <w:marLeft w:val="0"/>
          <w:marRight w:val="0"/>
          <w:marTop w:val="0"/>
          <w:marBottom w:val="0"/>
          <w:divBdr>
            <w:top w:val="none" w:sz="0" w:space="0" w:color="auto"/>
            <w:left w:val="none" w:sz="0" w:space="0" w:color="auto"/>
            <w:bottom w:val="none" w:sz="0" w:space="0" w:color="auto"/>
            <w:right w:val="none" w:sz="0" w:space="0" w:color="auto"/>
          </w:divBdr>
        </w:div>
      </w:divsChild>
    </w:div>
    <w:div w:id="1095440216">
      <w:bodyDiv w:val="1"/>
      <w:marLeft w:val="0"/>
      <w:marRight w:val="0"/>
      <w:marTop w:val="0"/>
      <w:marBottom w:val="0"/>
      <w:divBdr>
        <w:top w:val="none" w:sz="0" w:space="0" w:color="auto"/>
        <w:left w:val="none" w:sz="0" w:space="0" w:color="auto"/>
        <w:bottom w:val="none" w:sz="0" w:space="0" w:color="auto"/>
        <w:right w:val="none" w:sz="0" w:space="0" w:color="auto"/>
      </w:divBdr>
    </w:div>
    <w:div w:id="1117023986">
      <w:bodyDiv w:val="1"/>
      <w:marLeft w:val="0"/>
      <w:marRight w:val="0"/>
      <w:marTop w:val="0"/>
      <w:marBottom w:val="0"/>
      <w:divBdr>
        <w:top w:val="none" w:sz="0" w:space="0" w:color="auto"/>
        <w:left w:val="none" w:sz="0" w:space="0" w:color="auto"/>
        <w:bottom w:val="none" w:sz="0" w:space="0" w:color="auto"/>
        <w:right w:val="none" w:sz="0" w:space="0" w:color="auto"/>
      </w:divBdr>
    </w:div>
    <w:div w:id="1140222321">
      <w:bodyDiv w:val="1"/>
      <w:marLeft w:val="0"/>
      <w:marRight w:val="0"/>
      <w:marTop w:val="0"/>
      <w:marBottom w:val="0"/>
      <w:divBdr>
        <w:top w:val="none" w:sz="0" w:space="0" w:color="auto"/>
        <w:left w:val="none" w:sz="0" w:space="0" w:color="auto"/>
        <w:bottom w:val="none" w:sz="0" w:space="0" w:color="auto"/>
        <w:right w:val="none" w:sz="0" w:space="0" w:color="auto"/>
      </w:divBdr>
    </w:div>
    <w:div w:id="1143428929">
      <w:bodyDiv w:val="1"/>
      <w:marLeft w:val="0"/>
      <w:marRight w:val="0"/>
      <w:marTop w:val="0"/>
      <w:marBottom w:val="0"/>
      <w:divBdr>
        <w:top w:val="none" w:sz="0" w:space="0" w:color="auto"/>
        <w:left w:val="none" w:sz="0" w:space="0" w:color="auto"/>
        <w:bottom w:val="none" w:sz="0" w:space="0" w:color="auto"/>
        <w:right w:val="none" w:sz="0" w:space="0" w:color="auto"/>
      </w:divBdr>
      <w:divsChild>
        <w:div w:id="1379939966">
          <w:marLeft w:val="0"/>
          <w:marRight w:val="0"/>
          <w:marTop w:val="0"/>
          <w:marBottom w:val="0"/>
          <w:divBdr>
            <w:top w:val="none" w:sz="0" w:space="0" w:color="auto"/>
            <w:left w:val="none" w:sz="0" w:space="0" w:color="auto"/>
            <w:bottom w:val="none" w:sz="0" w:space="0" w:color="auto"/>
            <w:right w:val="none" w:sz="0" w:space="0" w:color="auto"/>
          </w:divBdr>
        </w:div>
        <w:div w:id="1393117421">
          <w:marLeft w:val="0"/>
          <w:marRight w:val="0"/>
          <w:marTop w:val="0"/>
          <w:marBottom w:val="0"/>
          <w:divBdr>
            <w:top w:val="none" w:sz="0" w:space="0" w:color="auto"/>
            <w:left w:val="none" w:sz="0" w:space="0" w:color="auto"/>
            <w:bottom w:val="none" w:sz="0" w:space="0" w:color="auto"/>
            <w:right w:val="none" w:sz="0" w:space="0" w:color="auto"/>
          </w:divBdr>
        </w:div>
      </w:divsChild>
    </w:div>
    <w:div w:id="1161002815">
      <w:bodyDiv w:val="1"/>
      <w:marLeft w:val="0"/>
      <w:marRight w:val="0"/>
      <w:marTop w:val="0"/>
      <w:marBottom w:val="0"/>
      <w:divBdr>
        <w:top w:val="none" w:sz="0" w:space="0" w:color="auto"/>
        <w:left w:val="none" w:sz="0" w:space="0" w:color="auto"/>
        <w:bottom w:val="none" w:sz="0" w:space="0" w:color="auto"/>
        <w:right w:val="none" w:sz="0" w:space="0" w:color="auto"/>
      </w:divBdr>
    </w:div>
    <w:div w:id="1175653510">
      <w:bodyDiv w:val="1"/>
      <w:marLeft w:val="0"/>
      <w:marRight w:val="0"/>
      <w:marTop w:val="0"/>
      <w:marBottom w:val="0"/>
      <w:divBdr>
        <w:top w:val="none" w:sz="0" w:space="0" w:color="auto"/>
        <w:left w:val="none" w:sz="0" w:space="0" w:color="auto"/>
        <w:bottom w:val="none" w:sz="0" w:space="0" w:color="auto"/>
        <w:right w:val="none" w:sz="0" w:space="0" w:color="auto"/>
      </w:divBdr>
      <w:divsChild>
        <w:div w:id="442382799">
          <w:marLeft w:val="0"/>
          <w:marRight w:val="0"/>
          <w:marTop w:val="0"/>
          <w:marBottom w:val="0"/>
          <w:divBdr>
            <w:top w:val="none" w:sz="0" w:space="0" w:color="auto"/>
            <w:left w:val="none" w:sz="0" w:space="0" w:color="auto"/>
            <w:bottom w:val="none" w:sz="0" w:space="0" w:color="auto"/>
            <w:right w:val="none" w:sz="0" w:space="0" w:color="auto"/>
          </w:divBdr>
        </w:div>
      </w:divsChild>
    </w:div>
    <w:div w:id="1187059755">
      <w:bodyDiv w:val="1"/>
      <w:marLeft w:val="0"/>
      <w:marRight w:val="0"/>
      <w:marTop w:val="0"/>
      <w:marBottom w:val="0"/>
      <w:divBdr>
        <w:top w:val="none" w:sz="0" w:space="0" w:color="auto"/>
        <w:left w:val="none" w:sz="0" w:space="0" w:color="auto"/>
        <w:bottom w:val="none" w:sz="0" w:space="0" w:color="auto"/>
        <w:right w:val="none" w:sz="0" w:space="0" w:color="auto"/>
      </w:divBdr>
    </w:div>
    <w:div w:id="1202748485">
      <w:bodyDiv w:val="1"/>
      <w:marLeft w:val="0"/>
      <w:marRight w:val="0"/>
      <w:marTop w:val="0"/>
      <w:marBottom w:val="0"/>
      <w:divBdr>
        <w:top w:val="none" w:sz="0" w:space="0" w:color="auto"/>
        <w:left w:val="none" w:sz="0" w:space="0" w:color="auto"/>
        <w:bottom w:val="none" w:sz="0" w:space="0" w:color="auto"/>
        <w:right w:val="none" w:sz="0" w:space="0" w:color="auto"/>
      </w:divBdr>
    </w:div>
    <w:div w:id="1206675337">
      <w:bodyDiv w:val="1"/>
      <w:marLeft w:val="0"/>
      <w:marRight w:val="0"/>
      <w:marTop w:val="0"/>
      <w:marBottom w:val="0"/>
      <w:divBdr>
        <w:top w:val="none" w:sz="0" w:space="0" w:color="auto"/>
        <w:left w:val="none" w:sz="0" w:space="0" w:color="auto"/>
        <w:bottom w:val="none" w:sz="0" w:space="0" w:color="auto"/>
        <w:right w:val="none" w:sz="0" w:space="0" w:color="auto"/>
      </w:divBdr>
    </w:div>
    <w:div w:id="1241671191">
      <w:bodyDiv w:val="1"/>
      <w:marLeft w:val="0"/>
      <w:marRight w:val="0"/>
      <w:marTop w:val="0"/>
      <w:marBottom w:val="0"/>
      <w:divBdr>
        <w:top w:val="none" w:sz="0" w:space="0" w:color="auto"/>
        <w:left w:val="none" w:sz="0" w:space="0" w:color="auto"/>
        <w:bottom w:val="none" w:sz="0" w:space="0" w:color="auto"/>
        <w:right w:val="none" w:sz="0" w:space="0" w:color="auto"/>
      </w:divBdr>
    </w:div>
    <w:div w:id="1242134830">
      <w:bodyDiv w:val="1"/>
      <w:marLeft w:val="0"/>
      <w:marRight w:val="0"/>
      <w:marTop w:val="0"/>
      <w:marBottom w:val="0"/>
      <w:divBdr>
        <w:top w:val="none" w:sz="0" w:space="0" w:color="auto"/>
        <w:left w:val="none" w:sz="0" w:space="0" w:color="auto"/>
        <w:bottom w:val="none" w:sz="0" w:space="0" w:color="auto"/>
        <w:right w:val="none" w:sz="0" w:space="0" w:color="auto"/>
      </w:divBdr>
    </w:div>
    <w:div w:id="1291284667">
      <w:bodyDiv w:val="1"/>
      <w:marLeft w:val="0"/>
      <w:marRight w:val="0"/>
      <w:marTop w:val="0"/>
      <w:marBottom w:val="0"/>
      <w:divBdr>
        <w:top w:val="none" w:sz="0" w:space="0" w:color="auto"/>
        <w:left w:val="none" w:sz="0" w:space="0" w:color="auto"/>
        <w:bottom w:val="none" w:sz="0" w:space="0" w:color="auto"/>
        <w:right w:val="none" w:sz="0" w:space="0" w:color="auto"/>
      </w:divBdr>
    </w:div>
    <w:div w:id="1299723420">
      <w:bodyDiv w:val="1"/>
      <w:marLeft w:val="0"/>
      <w:marRight w:val="0"/>
      <w:marTop w:val="0"/>
      <w:marBottom w:val="0"/>
      <w:divBdr>
        <w:top w:val="none" w:sz="0" w:space="0" w:color="auto"/>
        <w:left w:val="none" w:sz="0" w:space="0" w:color="auto"/>
        <w:bottom w:val="none" w:sz="0" w:space="0" w:color="auto"/>
        <w:right w:val="none" w:sz="0" w:space="0" w:color="auto"/>
      </w:divBdr>
      <w:divsChild>
        <w:div w:id="2016226379">
          <w:marLeft w:val="0"/>
          <w:marRight w:val="0"/>
          <w:marTop w:val="0"/>
          <w:marBottom w:val="0"/>
          <w:divBdr>
            <w:top w:val="none" w:sz="0" w:space="0" w:color="auto"/>
            <w:left w:val="none" w:sz="0" w:space="0" w:color="auto"/>
            <w:bottom w:val="none" w:sz="0" w:space="0" w:color="auto"/>
            <w:right w:val="none" w:sz="0" w:space="0" w:color="auto"/>
          </w:divBdr>
        </w:div>
      </w:divsChild>
    </w:div>
    <w:div w:id="1306543237">
      <w:bodyDiv w:val="1"/>
      <w:marLeft w:val="0"/>
      <w:marRight w:val="0"/>
      <w:marTop w:val="0"/>
      <w:marBottom w:val="0"/>
      <w:divBdr>
        <w:top w:val="none" w:sz="0" w:space="0" w:color="auto"/>
        <w:left w:val="none" w:sz="0" w:space="0" w:color="auto"/>
        <w:bottom w:val="none" w:sz="0" w:space="0" w:color="auto"/>
        <w:right w:val="none" w:sz="0" w:space="0" w:color="auto"/>
      </w:divBdr>
    </w:div>
    <w:div w:id="1313556982">
      <w:bodyDiv w:val="1"/>
      <w:marLeft w:val="0"/>
      <w:marRight w:val="0"/>
      <w:marTop w:val="0"/>
      <w:marBottom w:val="0"/>
      <w:divBdr>
        <w:top w:val="none" w:sz="0" w:space="0" w:color="auto"/>
        <w:left w:val="none" w:sz="0" w:space="0" w:color="auto"/>
        <w:bottom w:val="none" w:sz="0" w:space="0" w:color="auto"/>
        <w:right w:val="none" w:sz="0" w:space="0" w:color="auto"/>
      </w:divBdr>
      <w:divsChild>
        <w:div w:id="1875846642">
          <w:marLeft w:val="0"/>
          <w:marRight w:val="0"/>
          <w:marTop w:val="0"/>
          <w:marBottom w:val="0"/>
          <w:divBdr>
            <w:top w:val="none" w:sz="0" w:space="0" w:color="auto"/>
            <w:left w:val="none" w:sz="0" w:space="0" w:color="auto"/>
            <w:bottom w:val="none" w:sz="0" w:space="0" w:color="auto"/>
            <w:right w:val="none" w:sz="0" w:space="0" w:color="auto"/>
          </w:divBdr>
        </w:div>
      </w:divsChild>
    </w:div>
    <w:div w:id="1314067334">
      <w:bodyDiv w:val="1"/>
      <w:marLeft w:val="0"/>
      <w:marRight w:val="0"/>
      <w:marTop w:val="0"/>
      <w:marBottom w:val="0"/>
      <w:divBdr>
        <w:top w:val="none" w:sz="0" w:space="0" w:color="auto"/>
        <w:left w:val="none" w:sz="0" w:space="0" w:color="auto"/>
        <w:bottom w:val="none" w:sz="0" w:space="0" w:color="auto"/>
        <w:right w:val="none" w:sz="0" w:space="0" w:color="auto"/>
      </w:divBdr>
    </w:div>
    <w:div w:id="1317688136">
      <w:bodyDiv w:val="1"/>
      <w:marLeft w:val="0"/>
      <w:marRight w:val="0"/>
      <w:marTop w:val="0"/>
      <w:marBottom w:val="0"/>
      <w:divBdr>
        <w:top w:val="none" w:sz="0" w:space="0" w:color="auto"/>
        <w:left w:val="none" w:sz="0" w:space="0" w:color="auto"/>
        <w:bottom w:val="none" w:sz="0" w:space="0" w:color="auto"/>
        <w:right w:val="none" w:sz="0" w:space="0" w:color="auto"/>
      </w:divBdr>
    </w:div>
    <w:div w:id="1322075568">
      <w:bodyDiv w:val="1"/>
      <w:marLeft w:val="0"/>
      <w:marRight w:val="0"/>
      <w:marTop w:val="0"/>
      <w:marBottom w:val="0"/>
      <w:divBdr>
        <w:top w:val="none" w:sz="0" w:space="0" w:color="auto"/>
        <w:left w:val="none" w:sz="0" w:space="0" w:color="auto"/>
        <w:bottom w:val="none" w:sz="0" w:space="0" w:color="auto"/>
        <w:right w:val="none" w:sz="0" w:space="0" w:color="auto"/>
      </w:divBdr>
      <w:divsChild>
        <w:div w:id="214045919">
          <w:marLeft w:val="0"/>
          <w:marRight w:val="0"/>
          <w:marTop w:val="0"/>
          <w:marBottom w:val="0"/>
          <w:divBdr>
            <w:top w:val="none" w:sz="0" w:space="0" w:color="auto"/>
            <w:left w:val="none" w:sz="0" w:space="0" w:color="auto"/>
            <w:bottom w:val="none" w:sz="0" w:space="0" w:color="auto"/>
            <w:right w:val="none" w:sz="0" w:space="0" w:color="auto"/>
          </w:divBdr>
        </w:div>
      </w:divsChild>
    </w:div>
    <w:div w:id="1329017688">
      <w:bodyDiv w:val="1"/>
      <w:marLeft w:val="0"/>
      <w:marRight w:val="0"/>
      <w:marTop w:val="0"/>
      <w:marBottom w:val="0"/>
      <w:divBdr>
        <w:top w:val="none" w:sz="0" w:space="0" w:color="auto"/>
        <w:left w:val="none" w:sz="0" w:space="0" w:color="auto"/>
        <w:bottom w:val="none" w:sz="0" w:space="0" w:color="auto"/>
        <w:right w:val="none" w:sz="0" w:space="0" w:color="auto"/>
      </w:divBdr>
      <w:divsChild>
        <w:div w:id="1106728845">
          <w:marLeft w:val="0"/>
          <w:marRight w:val="0"/>
          <w:marTop w:val="0"/>
          <w:marBottom w:val="0"/>
          <w:divBdr>
            <w:top w:val="none" w:sz="0" w:space="0" w:color="auto"/>
            <w:left w:val="none" w:sz="0" w:space="0" w:color="auto"/>
            <w:bottom w:val="none" w:sz="0" w:space="0" w:color="auto"/>
            <w:right w:val="none" w:sz="0" w:space="0" w:color="auto"/>
          </w:divBdr>
        </w:div>
        <w:div w:id="2039818381">
          <w:marLeft w:val="0"/>
          <w:marRight w:val="0"/>
          <w:marTop w:val="0"/>
          <w:marBottom w:val="0"/>
          <w:divBdr>
            <w:top w:val="none" w:sz="0" w:space="0" w:color="auto"/>
            <w:left w:val="none" w:sz="0" w:space="0" w:color="auto"/>
            <w:bottom w:val="none" w:sz="0" w:space="0" w:color="auto"/>
            <w:right w:val="none" w:sz="0" w:space="0" w:color="auto"/>
          </w:divBdr>
        </w:div>
      </w:divsChild>
    </w:div>
    <w:div w:id="1332684761">
      <w:bodyDiv w:val="1"/>
      <w:marLeft w:val="0"/>
      <w:marRight w:val="0"/>
      <w:marTop w:val="0"/>
      <w:marBottom w:val="0"/>
      <w:divBdr>
        <w:top w:val="none" w:sz="0" w:space="0" w:color="auto"/>
        <w:left w:val="none" w:sz="0" w:space="0" w:color="auto"/>
        <w:bottom w:val="none" w:sz="0" w:space="0" w:color="auto"/>
        <w:right w:val="none" w:sz="0" w:space="0" w:color="auto"/>
      </w:divBdr>
      <w:divsChild>
        <w:div w:id="1946309043">
          <w:marLeft w:val="0"/>
          <w:marRight w:val="0"/>
          <w:marTop w:val="0"/>
          <w:marBottom w:val="0"/>
          <w:divBdr>
            <w:top w:val="none" w:sz="0" w:space="0" w:color="auto"/>
            <w:left w:val="none" w:sz="0" w:space="0" w:color="auto"/>
            <w:bottom w:val="none" w:sz="0" w:space="0" w:color="auto"/>
            <w:right w:val="none" w:sz="0" w:space="0" w:color="auto"/>
          </w:divBdr>
        </w:div>
      </w:divsChild>
    </w:div>
    <w:div w:id="1345480193">
      <w:bodyDiv w:val="1"/>
      <w:marLeft w:val="0"/>
      <w:marRight w:val="0"/>
      <w:marTop w:val="0"/>
      <w:marBottom w:val="0"/>
      <w:divBdr>
        <w:top w:val="none" w:sz="0" w:space="0" w:color="auto"/>
        <w:left w:val="none" w:sz="0" w:space="0" w:color="auto"/>
        <w:bottom w:val="none" w:sz="0" w:space="0" w:color="auto"/>
        <w:right w:val="none" w:sz="0" w:space="0" w:color="auto"/>
      </w:divBdr>
    </w:div>
    <w:div w:id="1350178023">
      <w:bodyDiv w:val="1"/>
      <w:marLeft w:val="0"/>
      <w:marRight w:val="0"/>
      <w:marTop w:val="0"/>
      <w:marBottom w:val="0"/>
      <w:divBdr>
        <w:top w:val="none" w:sz="0" w:space="0" w:color="auto"/>
        <w:left w:val="none" w:sz="0" w:space="0" w:color="auto"/>
        <w:bottom w:val="none" w:sz="0" w:space="0" w:color="auto"/>
        <w:right w:val="none" w:sz="0" w:space="0" w:color="auto"/>
      </w:divBdr>
    </w:div>
    <w:div w:id="1353609104">
      <w:bodyDiv w:val="1"/>
      <w:marLeft w:val="0"/>
      <w:marRight w:val="0"/>
      <w:marTop w:val="0"/>
      <w:marBottom w:val="0"/>
      <w:divBdr>
        <w:top w:val="none" w:sz="0" w:space="0" w:color="auto"/>
        <w:left w:val="none" w:sz="0" w:space="0" w:color="auto"/>
        <w:bottom w:val="none" w:sz="0" w:space="0" w:color="auto"/>
        <w:right w:val="none" w:sz="0" w:space="0" w:color="auto"/>
      </w:divBdr>
    </w:div>
    <w:div w:id="1362778122">
      <w:bodyDiv w:val="1"/>
      <w:marLeft w:val="0"/>
      <w:marRight w:val="0"/>
      <w:marTop w:val="0"/>
      <w:marBottom w:val="0"/>
      <w:divBdr>
        <w:top w:val="none" w:sz="0" w:space="0" w:color="auto"/>
        <w:left w:val="none" w:sz="0" w:space="0" w:color="auto"/>
        <w:bottom w:val="none" w:sz="0" w:space="0" w:color="auto"/>
        <w:right w:val="none" w:sz="0" w:space="0" w:color="auto"/>
      </w:divBdr>
    </w:div>
    <w:div w:id="1394304714">
      <w:bodyDiv w:val="1"/>
      <w:marLeft w:val="0"/>
      <w:marRight w:val="0"/>
      <w:marTop w:val="0"/>
      <w:marBottom w:val="0"/>
      <w:divBdr>
        <w:top w:val="none" w:sz="0" w:space="0" w:color="auto"/>
        <w:left w:val="none" w:sz="0" w:space="0" w:color="auto"/>
        <w:bottom w:val="none" w:sz="0" w:space="0" w:color="auto"/>
        <w:right w:val="none" w:sz="0" w:space="0" w:color="auto"/>
      </w:divBdr>
      <w:divsChild>
        <w:div w:id="1875344652">
          <w:marLeft w:val="0"/>
          <w:marRight w:val="0"/>
          <w:marTop w:val="0"/>
          <w:marBottom w:val="0"/>
          <w:divBdr>
            <w:top w:val="none" w:sz="0" w:space="0" w:color="auto"/>
            <w:left w:val="none" w:sz="0" w:space="0" w:color="auto"/>
            <w:bottom w:val="none" w:sz="0" w:space="0" w:color="auto"/>
            <w:right w:val="none" w:sz="0" w:space="0" w:color="auto"/>
          </w:divBdr>
        </w:div>
      </w:divsChild>
    </w:div>
    <w:div w:id="1404063093">
      <w:bodyDiv w:val="1"/>
      <w:marLeft w:val="0"/>
      <w:marRight w:val="0"/>
      <w:marTop w:val="0"/>
      <w:marBottom w:val="0"/>
      <w:divBdr>
        <w:top w:val="none" w:sz="0" w:space="0" w:color="auto"/>
        <w:left w:val="none" w:sz="0" w:space="0" w:color="auto"/>
        <w:bottom w:val="none" w:sz="0" w:space="0" w:color="auto"/>
        <w:right w:val="none" w:sz="0" w:space="0" w:color="auto"/>
      </w:divBdr>
    </w:div>
    <w:div w:id="1412003045">
      <w:bodyDiv w:val="1"/>
      <w:marLeft w:val="0"/>
      <w:marRight w:val="0"/>
      <w:marTop w:val="0"/>
      <w:marBottom w:val="0"/>
      <w:divBdr>
        <w:top w:val="none" w:sz="0" w:space="0" w:color="auto"/>
        <w:left w:val="none" w:sz="0" w:space="0" w:color="auto"/>
        <w:bottom w:val="none" w:sz="0" w:space="0" w:color="auto"/>
        <w:right w:val="none" w:sz="0" w:space="0" w:color="auto"/>
      </w:divBdr>
    </w:div>
    <w:div w:id="1412658986">
      <w:bodyDiv w:val="1"/>
      <w:marLeft w:val="0"/>
      <w:marRight w:val="0"/>
      <w:marTop w:val="0"/>
      <w:marBottom w:val="0"/>
      <w:divBdr>
        <w:top w:val="none" w:sz="0" w:space="0" w:color="auto"/>
        <w:left w:val="none" w:sz="0" w:space="0" w:color="auto"/>
        <w:bottom w:val="none" w:sz="0" w:space="0" w:color="auto"/>
        <w:right w:val="none" w:sz="0" w:space="0" w:color="auto"/>
      </w:divBdr>
    </w:div>
    <w:div w:id="1415937206">
      <w:bodyDiv w:val="1"/>
      <w:marLeft w:val="0"/>
      <w:marRight w:val="0"/>
      <w:marTop w:val="0"/>
      <w:marBottom w:val="0"/>
      <w:divBdr>
        <w:top w:val="none" w:sz="0" w:space="0" w:color="auto"/>
        <w:left w:val="none" w:sz="0" w:space="0" w:color="auto"/>
        <w:bottom w:val="none" w:sz="0" w:space="0" w:color="auto"/>
        <w:right w:val="none" w:sz="0" w:space="0" w:color="auto"/>
      </w:divBdr>
      <w:divsChild>
        <w:div w:id="351415898">
          <w:marLeft w:val="0"/>
          <w:marRight w:val="0"/>
          <w:marTop w:val="0"/>
          <w:marBottom w:val="0"/>
          <w:divBdr>
            <w:top w:val="none" w:sz="0" w:space="0" w:color="auto"/>
            <w:left w:val="none" w:sz="0" w:space="0" w:color="auto"/>
            <w:bottom w:val="none" w:sz="0" w:space="0" w:color="auto"/>
            <w:right w:val="none" w:sz="0" w:space="0" w:color="auto"/>
          </w:divBdr>
        </w:div>
      </w:divsChild>
    </w:div>
    <w:div w:id="1438598790">
      <w:bodyDiv w:val="1"/>
      <w:marLeft w:val="0"/>
      <w:marRight w:val="0"/>
      <w:marTop w:val="0"/>
      <w:marBottom w:val="0"/>
      <w:divBdr>
        <w:top w:val="none" w:sz="0" w:space="0" w:color="auto"/>
        <w:left w:val="none" w:sz="0" w:space="0" w:color="auto"/>
        <w:bottom w:val="none" w:sz="0" w:space="0" w:color="auto"/>
        <w:right w:val="none" w:sz="0" w:space="0" w:color="auto"/>
      </w:divBdr>
    </w:div>
    <w:div w:id="1447651809">
      <w:bodyDiv w:val="1"/>
      <w:marLeft w:val="0"/>
      <w:marRight w:val="0"/>
      <w:marTop w:val="0"/>
      <w:marBottom w:val="0"/>
      <w:divBdr>
        <w:top w:val="none" w:sz="0" w:space="0" w:color="auto"/>
        <w:left w:val="none" w:sz="0" w:space="0" w:color="auto"/>
        <w:bottom w:val="none" w:sz="0" w:space="0" w:color="auto"/>
        <w:right w:val="none" w:sz="0" w:space="0" w:color="auto"/>
      </w:divBdr>
    </w:div>
    <w:div w:id="1480731536">
      <w:bodyDiv w:val="1"/>
      <w:marLeft w:val="0"/>
      <w:marRight w:val="0"/>
      <w:marTop w:val="0"/>
      <w:marBottom w:val="0"/>
      <w:divBdr>
        <w:top w:val="none" w:sz="0" w:space="0" w:color="auto"/>
        <w:left w:val="none" w:sz="0" w:space="0" w:color="auto"/>
        <w:bottom w:val="none" w:sz="0" w:space="0" w:color="auto"/>
        <w:right w:val="none" w:sz="0" w:space="0" w:color="auto"/>
      </w:divBdr>
    </w:div>
    <w:div w:id="1493566347">
      <w:bodyDiv w:val="1"/>
      <w:marLeft w:val="0"/>
      <w:marRight w:val="0"/>
      <w:marTop w:val="0"/>
      <w:marBottom w:val="0"/>
      <w:divBdr>
        <w:top w:val="none" w:sz="0" w:space="0" w:color="auto"/>
        <w:left w:val="none" w:sz="0" w:space="0" w:color="auto"/>
        <w:bottom w:val="none" w:sz="0" w:space="0" w:color="auto"/>
        <w:right w:val="none" w:sz="0" w:space="0" w:color="auto"/>
      </w:divBdr>
      <w:divsChild>
        <w:div w:id="1231770265">
          <w:marLeft w:val="0"/>
          <w:marRight w:val="0"/>
          <w:marTop w:val="0"/>
          <w:marBottom w:val="0"/>
          <w:divBdr>
            <w:top w:val="none" w:sz="0" w:space="0" w:color="auto"/>
            <w:left w:val="none" w:sz="0" w:space="0" w:color="auto"/>
            <w:bottom w:val="none" w:sz="0" w:space="0" w:color="auto"/>
            <w:right w:val="none" w:sz="0" w:space="0" w:color="auto"/>
          </w:divBdr>
        </w:div>
      </w:divsChild>
    </w:div>
    <w:div w:id="1505167468">
      <w:bodyDiv w:val="1"/>
      <w:marLeft w:val="0"/>
      <w:marRight w:val="0"/>
      <w:marTop w:val="0"/>
      <w:marBottom w:val="0"/>
      <w:divBdr>
        <w:top w:val="none" w:sz="0" w:space="0" w:color="auto"/>
        <w:left w:val="none" w:sz="0" w:space="0" w:color="auto"/>
        <w:bottom w:val="none" w:sz="0" w:space="0" w:color="auto"/>
        <w:right w:val="none" w:sz="0" w:space="0" w:color="auto"/>
      </w:divBdr>
      <w:divsChild>
        <w:div w:id="1260528154">
          <w:marLeft w:val="0"/>
          <w:marRight w:val="0"/>
          <w:marTop w:val="0"/>
          <w:marBottom w:val="0"/>
          <w:divBdr>
            <w:top w:val="none" w:sz="0" w:space="0" w:color="auto"/>
            <w:left w:val="none" w:sz="0" w:space="0" w:color="auto"/>
            <w:bottom w:val="none" w:sz="0" w:space="0" w:color="auto"/>
            <w:right w:val="none" w:sz="0" w:space="0" w:color="auto"/>
          </w:divBdr>
        </w:div>
      </w:divsChild>
    </w:div>
    <w:div w:id="1509906064">
      <w:bodyDiv w:val="1"/>
      <w:marLeft w:val="0"/>
      <w:marRight w:val="0"/>
      <w:marTop w:val="0"/>
      <w:marBottom w:val="0"/>
      <w:divBdr>
        <w:top w:val="none" w:sz="0" w:space="0" w:color="auto"/>
        <w:left w:val="none" w:sz="0" w:space="0" w:color="auto"/>
        <w:bottom w:val="none" w:sz="0" w:space="0" w:color="auto"/>
        <w:right w:val="none" w:sz="0" w:space="0" w:color="auto"/>
      </w:divBdr>
    </w:div>
    <w:div w:id="1509977612">
      <w:bodyDiv w:val="1"/>
      <w:marLeft w:val="0"/>
      <w:marRight w:val="0"/>
      <w:marTop w:val="0"/>
      <w:marBottom w:val="0"/>
      <w:divBdr>
        <w:top w:val="none" w:sz="0" w:space="0" w:color="auto"/>
        <w:left w:val="none" w:sz="0" w:space="0" w:color="auto"/>
        <w:bottom w:val="none" w:sz="0" w:space="0" w:color="auto"/>
        <w:right w:val="none" w:sz="0" w:space="0" w:color="auto"/>
      </w:divBdr>
      <w:divsChild>
        <w:div w:id="1304846715">
          <w:marLeft w:val="0"/>
          <w:marRight w:val="0"/>
          <w:marTop w:val="0"/>
          <w:marBottom w:val="0"/>
          <w:divBdr>
            <w:top w:val="none" w:sz="0" w:space="0" w:color="auto"/>
            <w:left w:val="none" w:sz="0" w:space="0" w:color="auto"/>
            <w:bottom w:val="none" w:sz="0" w:space="0" w:color="auto"/>
            <w:right w:val="none" w:sz="0" w:space="0" w:color="auto"/>
          </w:divBdr>
        </w:div>
      </w:divsChild>
    </w:div>
    <w:div w:id="1517159890">
      <w:bodyDiv w:val="1"/>
      <w:marLeft w:val="0"/>
      <w:marRight w:val="0"/>
      <w:marTop w:val="0"/>
      <w:marBottom w:val="0"/>
      <w:divBdr>
        <w:top w:val="none" w:sz="0" w:space="0" w:color="auto"/>
        <w:left w:val="none" w:sz="0" w:space="0" w:color="auto"/>
        <w:bottom w:val="none" w:sz="0" w:space="0" w:color="auto"/>
        <w:right w:val="none" w:sz="0" w:space="0" w:color="auto"/>
      </w:divBdr>
    </w:div>
    <w:div w:id="1553691541">
      <w:bodyDiv w:val="1"/>
      <w:marLeft w:val="0"/>
      <w:marRight w:val="0"/>
      <w:marTop w:val="0"/>
      <w:marBottom w:val="0"/>
      <w:divBdr>
        <w:top w:val="none" w:sz="0" w:space="0" w:color="auto"/>
        <w:left w:val="none" w:sz="0" w:space="0" w:color="auto"/>
        <w:bottom w:val="none" w:sz="0" w:space="0" w:color="auto"/>
        <w:right w:val="none" w:sz="0" w:space="0" w:color="auto"/>
      </w:divBdr>
      <w:divsChild>
        <w:div w:id="1504469557">
          <w:marLeft w:val="0"/>
          <w:marRight w:val="0"/>
          <w:marTop w:val="0"/>
          <w:marBottom w:val="0"/>
          <w:divBdr>
            <w:top w:val="none" w:sz="0" w:space="0" w:color="auto"/>
            <w:left w:val="none" w:sz="0" w:space="0" w:color="auto"/>
            <w:bottom w:val="none" w:sz="0" w:space="0" w:color="auto"/>
            <w:right w:val="none" w:sz="0" w:space="0" w:color="auto"/>
          </w:divBdr>
        </w:div>
        <w:div w:id="674066632">
          <w:marLeft w:val="0"/>
          <w:marRight w:val="0"/>
          <w:marTop w:val="0"/>
          <w:marBottom w:val="0"/>
          <w:divBdr>
            <w:top w:val="none" w:sz="0" w:space="0" w:color="auto"/>
            <w:left w:val="none" w:sz="0" w:space="0" w:color="auto"/>
            <w:bottom w:val="none" w:sz="0" w:space="0" w:color="auto"/>
            <w:right w:val="none" w:sz="0" w:space="0" w:color="auto"/>
          </w:divBdr>
        </w:div>
        <w:div w:id="1325089639">
          <w:marLeft w:val="0"/>
          <w:marRight w:val="0"/>
          <w:marTop w:val="0"/>
          <w:marBottom w:val="0"/>
          <w:divBdr>
            <w:top w:val="none" w:sz="0" w:space="0" w:color="auto"/>
            <w:left w:val="none" w:sz="0" w:space="0" w:color="auto"/>
            <w:bottom w:val="none" w:sz="0" w:space="0" w:color="auto"/>
            <w:right w:val="none" w:sz="0" w:space="0" w:color="auto"/>
          </w:divBdr>
        </w:div>
      </w:divsChild>
    </w:div>
    <w:div w:id="1556309237">
      <w:bodyDiv w:val="1"/>
      <w:marLeft w:val="0"/>
      <w:marRight w:val="0"/>
      <w:marTop w:val="0"/>
      <w:marBottom w:val="0"/>
      <w:divBdr>
        <w:top w:val="none" w:sz="0" w:space="0" w:color="auto"/>
        <w:left w:val="none" w:sz="0" w:space="0" w:color="auto"/>
        <w:bottom w:val="none" w:sz="0" w:space="0" w:color="auto"/>
        <w:right w:val="none" w:sz="0" w:space="0" w:color="auto"/>
      </w:divBdr>
    </w:div>
    <w:div w:id="1559438529">
      <w:bodyDiv w:val="1"/>
      <w:marLeft w:val="0"/>
      <w:marRight w:val="0"/>
      <w:marTop w:val="0"/>
      <w:marBottom w:val="0"/>
      <w:divBdr>
        <w:top w:val="none" w:sz="0" w:space="0" w:color="auto"/>
        <w:left w:val="none" w:sz="0" w:space="0" w:color="auto"/>
        <w:bottom w:val="none" w:sz="0" w:space="0" w:color="auto"/>
        <w:right w:val="none" w:sz="0" w:space="0" w:color="auto"/>
      </w:divBdr>
      <w:divsChild>
        <w:div w:id="1582712609">
          <w:marLeft w:val="0"/>
          <w:marRight w:val="0"/>
          <w:marTop w:val="0"/>
          <w:marBottom w:val="0"/>
          <w:divBdr>
            <w:top w:val="none" w:sz="0" w:space="0" w:color="auto"/>
            <w:left w:val="none" w:sz="0" w:space="0" w:color="auto"/>
            <w:bottom w:val="none" w:sz="0" w:space="0" w:color="auto"/>
            <w:right w:val="none" w:sz="0" w:space="0" w:color="auto"/>
          </w:divBdr>
        </w:div>
      </w:divsChild>
    </w:div>
    <w:div w:id="1572350277">
      <w:bodyDiv w:val="1"/>
      <w:marLeft w:val="0"/>
      <w:marRight w:val="0"/>
      <w:marTop w:val="0"/>
      <w:marBottom w:val="0"/>
      <w:divBdr>
        <w:top w:val="none" w:sz="0" w:space="0" w:color="auto"/>
        <w:left w:val="none" w:sz="0" w:space="0" w:color="auto"/>
        <w:bottom w:val="none" w:sz="0" w:space="0" w:color="auto"/>
        <w:right w:val="none" w:sz="0" w:space="0" w:color="auto"/>
      </w:divBdr>
    </w:div>
    <w:div w:id="1619413588">
      <w:bodyDiv w:val="1"/>
      <w:marLeft w:val="0"/>
      <w:marRight w:val="0"/>
      <w:marTop w:val="0"/>
      <w:marBottom w:val="0"/>
      <w:divBdr>
        <w:top w:val="none" w:sz="0" w:space="0" w:color="auto"/>
        <w:left w:val="none" w:sz="0" w:space="0" w:color="auto"/>
        <w:bottom w:val="none" w:sz="0" w:space="0" w:color="auto"/>
        <w:right w:val="none" w:sz="0" w:space="0" w:color="auto"/>
      </w:divBdr>
    </w:div>
    <w:div w:id="1642808957">
      <w:bodyDiv w:val="1"/>
      <w:marLeft w:val="0"/>
      <w:marRight w:val="0"/>
      <w:marTop w:val="0"/>
      <w:marBottom w:val="0"/>
      <w:divBdr>
        <w:top w:val="none" w:sz="0" w:space="0" w:color="auto"/>
        <w:left w:val="none" w:sz="0" w:space="0" w:color="auto"/>
        <w:bottom w:val="none" w:sz="0" w:space="0" w:color="auto"/>
        <w:right w:val="none" w:sz="0" w:space="0" w:color="auto"/>
      </w:divBdr>
      <w:divsChild>
        <w:div w:id="889338610">
          <w:marLeft w:val="0"/>
          <w:marRight w:val="0"/>
          <w:marTop w:val="0"/>
          <w:marBottom w:val="0"/>
          <w:divBdr>
            <w:top w:val="none" w:sz="0" w:space="0" w:color="auto"/>
            <w:left w:val="none" w:sz="0" w:space="0" w:color="auto"/>
            <w:bottom w:val="none" w:sz="0" w:space="0" w:color="auto"/>
            <w:right w:val="none" w:sz="0" w:space="0" w:color="auto"/>
          </w:divBdr>
        </w:div>
      </w:divsChild>
    </w:div>
    <w:div w:id="1650092238">
      <w:bodyDiv w:val="1"/>
      <w:marLeft w:val="0"/>
      <w:marRight w:val="0"/>
      <w:marTop w:val="0"/>
      <w:marBottom w:val="0"/>
      <w:divBdr>
        <w:top w:val="none" w:sz="0" w:space="0" w:color="auto"/>
        <w:left w:val="none" w:sz="0" w:space="0" w:color="auto"/>
        <w:bottom w:val="none" w:sz="0" w:space="0" w:color="auto"/>
        <w:right w:val="none" w:sz="0" w:space="0" w:color="auto"/>
      </w:divBdr>
      <w:divsChild>
        <w:div w:id="1061246454">
          <w:marLeft w:val="0"/>
          <w:marRight w:val="0"/>
          <w:marTop w:val="0"/>
          <w:marBottom w:val="0"/>
          <w:divBdr>
            <w:top w:val="none" w:sz="0" w:space="0" w:color="auto"/>
            <w:left w:val="none" w:sz="0" w:space="0" w:color="auto"/>
            <w:bottom w:val="none" w:sz="0" w:space="0" w:color="auto"/>
            <w:right w:val="none" w:sz="0" w:space="0" w:color="auto"/>
          </w:divBdr>
        </w:div>
      </w:divsChild>
    </w:div>
    <w:div w:id="1655260305">
      <w:bodyDiv w:val="1"/>
      <w:marLeft w:val="0"/>
      <w:marRight w:val="0"/>
      <w:marTop w:val="0"/>
      <w:marBottom w:val="0"/>
      <w:divBdr>
        <w:top w:val="none" w:sz="0" w:space="0" w:color="auto"/>
        <w:left w:val="none" w:sz="0" w:space="0" w:color="auto"/>
        <w:bottom w:val="none" w:sz="0" w:space="0" w:color="auto"/>
        <w:right w:val="none" w:sz="0" w:space="0" w:color="auto"/>
      </w:divBdr>
    </w:div>
    <w:div w:id="1657491284">
      <w:bodyDiv w:val="1"/>
      <w:marLeft w:val="0"/>
      <w:marRight w:val="0"/>
      <w:marTop w:val="0"/>
      <w:marBottom w:val="0"/>
      <w:divBdr>
        <w:top w:val="none" w:sz="0" w:space="0" w:color="auto"/>
        <w:left w:val="none" w:sz="0" w:space="0" w:color="auto"/>
        <w:bottom w:val="none" w:sz="0" w:space="0" w:color="auto"/>
        <w:right w:val="none" w:sz="0" w:space="0" w:color="auto"/>
      </w:divBdr>
    </w:div>
    <w:div w:id="1676348055">
      <w:bodyDiv w:val="1"/>
      <w:marLeft w:val="0"/>
      <w:marRight w:val="0"/>
      <w:marTop w:val="0"/>
      <w:marBottom w:val="0"/>
      <w:divBdr>
        <w:top w:val="none" w:sz="0" w:space="0" w:color="auto"/>
        <w:left w:val="none" w:sz="0" w:space="0" w:color="auto"/>
        <w:bottom w:val="none" w:sz="0" w:space="0" w:color="auto"/>
        <w:right w:val="none" w:sz="0" w:space="0" w:color="auto"/>
      </w:divBdr>
      <w:divsChild>
        <w:div w:id="2001348693">
          <w:marLeft w:val="0"/>
          <w:marRight w:val="0"/>
          <w:marTop w:val="0"/>
          <w:marBottom w:val="0"/>
          <w:divBdr>
            <w:top w:val="none" w:sz="0" w:space="0" w:color="auto"/>
            <w:left w:val="none" w:sz="0" w:space="0" w:color="auto"/>
            <w:bottom w:val="none" w:sz="0" w:space="0" w:color="auto"/>
            <w:right w:val="none" w:sz="0" w:space="0" w:color="auto"/>
          </w:divBdr>
        </w:div>
      </w:divsChild>
    </w:div>
    <w:div w:id="1687557172">
      <w:bodyDiv w:val="1"/>
      <w:marLeft w:val="0"/>
      <w:marRight w:val="0"/>
      <w:marTop w:val="0"/>
      <w:marBottom w:val="0"/>
      <w:divBdr>
        <w:top w:val="none" w:sz="0" w:space="0" w:color="auto"/>
        <w:left w:val="none" w:sz="0" w:space="0" w:color="auto"/>
        <w:bottom w:val="none" w:sz="0" w:space="0" w:color="auto"/>
        <w:right w:val="none" w:sz="0" w:space="0" w:color="auto"/>
      </w:divBdr>
    </w:div>
    <w:div w:id="1698117709">
      <w:bodyDiv w:val="1"/>
      <w:marLeft w:val="0"/>
      <w:marRight w:val="0"/>
      <w:marTop w:val="0"/>
      <w:marBottom w:val="0"/>
      <w:divBdr>
        <w:top w:val="none" w:sz="0" w:space="0" w:color="auto"/>
        <w:left w:val="none" w:sz="0" w:space="0" w:color="auto"/>
        <w:bottom w:val="none" w:sz="0" w:space="0" w:color="auto"/>
        <w:right w:val="none" w:sz="0" w:space="0" w:color="auto"/>
      </w:divBdr>
    </w:div>
    <w:div w:id="1703242801">
      <w:bodyDiv w:val="1"/>
      <w:marLeft w:val="0"/>
      <w:marRight w:val="0"/>
      <w:marTop w:val="0"/>
      <w:marBottom w:val="0"/>
      <w:divBdr>
        <w:top w:val="none" w:sz="0" w:space="0" w:color="auto"/>
        <w:left w:val="none" w:sz="0" w:space="0" w:color="auto"/>
        <w:bottom w:val="none" w:sz="0" w:space="0" w:color="auto"/>
        <w:right w:val="none" w:sz="0" w:space="0" w:color="auto"/>
      </w:divBdr>
    </w:div>
    <w:div w:id="1739815359">
      <w:bodyDiv w:val="1"/>
      <w:marLeft w:val="0"/>
      <w:marRight w:val="0"/>
      <w:marTop w:val="0"/>
      <w:marBottom w:val="0"/>
      <w:divBdr>
        <w:top w:val="none" w:sz="0" w:space="0" w:color="auto"/>
        <w:left w:val="none" w:sz="0" w:space="0" w:color="auto"/>
        <w:bottom w:val="none" w:sz="0" w:space="0" w:color="auto"/>
        <w:right w:val="none" w:sz="0" w:space="0" w:color="auto"/>
      </w:divBdr>
    </w:div>
    <w:div w:id="1745764030">
      <w:bodyDiv w:val="1"/>
      <w:marLeft w:val="0"/>
      <w:marRight w:val="0"/>
      <w:marTop w:val="0"/>
      <w:marBottom w:val="0"/>
      <w:divBdr>
        <w:top w:val="none" w:sz="0" w:space="0" w:color="auto"/>
        <w:left w:val="none" w:sz="0" w:space="0" w:color="auto"/>
        <w:bottom w:val="none" w:sz="0" w:space="0" w:color="auto"/>
        <w:right w:val="none" w:sz="0" w:space="0" w:color="auto"/>
      </w:divBdr>
      <w:divsChild>
        <w:div w:id="1227494931">
          <w:marLeft w:val="0"/>
          <w:marRight w:val="0"/>
          <w:marTop w:val="0"/>
          <w:marBottom w:val="0"/>
          <w:divBdr>
            <w:top w:val="none" w:sz="0" w:space="0" w:color="auto"/>
            <w:left w:val="none" w:sz="0" w:space="0" w:color="auto"/>
            <w:bottom w:val="none" w:sz="0" w:space="0" w:color="auto"/>
            <w:right w:val="none" w:sz="0" w:space="0" w:color="auto"/>
          </w:divBdr>
        </w:div>
      </w:divsChild>
    </w:div>
    <w:div w:id="1757826530">
      <w:bodyDiv w:val="1"/>
      <w:marLeft w:val="0"/>
      <w:marRight w:val="0"/>
      <w:marTop w:val="0"/>
      <w:marBottom w:val="0"/>
      <w:divBdr>
        <w:top w:val="none" w:sz="0" w:space="0" w:color="auto"/>
        <w:left w:val="none" w:sz="0" w:space="0" w:color="auto"/>
        <w:bottom w:val="none" w:sz="0" w:space="0" w:color="auto"/>
        <w:right w:val="none" w:sz="0" w:space="0" w:color="auto"/>
      </w:divBdr>
    </w:div>
    <w:div w:id="1777212049">
      <w:bodyDiv w:val="1"/>
      <w:marLeft w:val="0"/>
      <w:marRight w:val="0"/>
      <w:marTop w:val="0"/>
      <w:marBottom w:val="0"/>
      <w:divBdr>
        <w:top w:val="none" w:sz="0" w:space="0" w:color="auto"/>
        <w:left w:val="none" w:sz="0" w:space="0" w:color="auto"/>
        <w:bottom w:val="none" w:sz="0" w:space="0" w:color="auto"/>
        <w:right w:val="none" w:sz="0" w:space="0" w:color="auto"/>
      </w:divBdr>
    </w:div>
    <w:div w:id="1778520623">
      <w:bodyDiv w:val="1"/>
      <w:marLeft w:val="0"/>
      <w:marRight w:val="0"/>
      <w:marTop w:val="0"/>
      <w:marBottom w:val="0"/>
      <w:divBdr>
        <w:top w:val="none" w:sz="0" w:space="0" w:color="auto"/>
        <w:left w:val="none" w:sz="0" w:space="0" w:color="auto"/>
        <w:bottom w:val="none" w:sz="0" w:space="0" w:color="auto"/>
        <w:right w:val="none" w:sz="0" w:space="0" w:color="auto"/>
      </w:divBdr>
    </w:div>
    <w:div w:id="1812282802">
      <w:bodyDiv w:val="1"/>
      <w:marLeft w:val="0"/>
      <w:marRight w:val="0"/>
      <w:marTop w:val="0"/>
      <w:marBottom w:val="0"/>
      <w:divBdr>
        <w:top w:val="none" w:sz="0" w:space="0" w:color="auto"/>
        <w:left w:val="none" w:sz="0" w:space="0" w:color="auto"/>
        <w:bottom w:val="none" w:sz="0" w:space="0" w:color="auto"/>
        <w:right w:val="none" w:sz="0" w:space="0" w:color="auto"/>
      </w:divBdr>
    </w:div>
    <w:div w:id="1825507785">
      <w:bodyDiv w:val="1"/>
      <w:marLeft w:val="0"/>
      <w:marRight w:val="0"/>
      <w:marTop w:val="0"/>
      <w:marBottom w:val="0"/>
      <w:divBdr>
        <w:top w:val="none" w:sz="0" w:space="0" w:color="auto"/>
        <w:left w:val="none" w:sz="0" w:space="0" w:color="auto"/>
        <w:bottom w:val="none" w:sz="0" w:space="0" w:color="auto"/>
        <w:right w:val="none" w:sz="0" w:space="0" w:color="auto"/>
      </w:divBdr>
    </w:div>
    <w:div w:id="1832520206">
      <w:bodyDiv w:val="1"/>
      <w:marLeft w:val="0"/>
      <w:marRight w:val="0"/>
      <w:marTop w:val="0"/>
      <w:marBottom w:val="0"/>
      <w:divBdr>
        <w:top w:val="none" w:sz="0" w:space="0" w:color="auto"/>
        <w:left w:val="none" w:sz="0" w:space="0" w:color="auto"/>
        <w:bottom w:val="none" w:sz="0" w:space="0" w:color="auto"/>
        <w:right w:val="none" w:sz="0" w:space="0" w:color="auto"/>
      </w:divBdr>
    </w:div>
    <w:div w:id="1834373784">
      <w:bodyDiv w:val="1"/>
      <w:marLeft w:val="0"/>
      <w:marRight w:val="0"/>
      <w:marTop w:val="0"/>
      <w:marBottom w:val="0"/>
      <w:divBdr>
        <w:top w:val="none" w:sz="0" w:space="0" w:color="auto"/>
        <w:left w:val="none" w:sz="0" w:space="0" w:color="auto"/>
        <w:bottom w:val="none" w:sz="0" w:space="0" w:color="auto"/>
        <w:right w:val="none" w:sz="0" w:space="0" w:color="auto"/>
      </w:divBdr>
      <w:divsChild>
        <w:div w:id="916477877">
          <w:marLeft w:val="0"/>
          <w:marRight w:val="0"/>
          <w:marTop w:val="0"/>
          <w:marBottom w:val="0"/>
          <w:divBdr>
            <w:top w:val="none" w:sz="0" w:space="0" w:color="auto"/>
            <w:left w:val="none" w:sz="0" w:space="0" w:color="auto"/>
            <w:bottom w:val="none" w:sz="0" w:space="0" w:color="auto"/>
            <w:right w:val="none" w:sz="0" w:space="0" w:color="auto"/>
          </w:divBdr>
        </w:div>
      </w:divsChild>
    </w:div>
    <w:div w:id="1837921704">
      <w:bodyDiv w:val="1"/>
      <w:marLeft w:val="0"/>
      <w:marRight w:val="0"/>
      <w:marTop w:val="0"/>
      <w:marBottom w:val="0"/>
      <w:divBdr>
        <w:top w:val="none" w:sz="0" w:space="0" w:color="auto"/>
        <w:left w:val="none" w:sz="0" w:space="0" w:color="auto"/>
        <w:bottom w:val="none" w:sz="0" w:space="0" w:color="auto"/>
        <w:right w:val="none" w:sz="0" w:space="0" w:color="auto"/>
      </w:divBdr>
    </w:div>
    <w:div w:id="1841195987">
      <w:bodyDiv w:val="1"/>
      <w:marLeft w:val="0"/>
      <w:marRight w:val="0"/>
      <w:marTop w:val="0"/>
      <w:marBottom w:val="0"/>
      <w:divBdr>
        <w:top w:val="none" w:sz="0" w:space="0" w:color="auto"/>
        <w:left w:val="none" w:sz="0" w:space="0" w:color="auto"/>
        <w:bottom w:val="none" w:sz="0" w:space="0" w:color="auto"/>
        <w:right w:val="none" w:sz="0" w:space="0" w:color="auto"/>
      </w:divBdr>
      <w:divsChild>
        <w:div w:id="1880699540">
          <w:marLeft w:val="0"/>
          <w:marRight w:val="0"/>
          <w:marTop w:val="0"/>
          <w:marBottom w:val="0"/>
          <w:divBdr>
            <w:top w:val="none" w:sz="0" w:space="0" w:color="auto"/>
            <w:left w:val="none" w:sz="0" w:space="0" w:color="auto"/>
            <w:bottom w:val="none" w:sz="0" w:space="0" w:color="auto"/>
            <w:right w:val="none" w:sz="0" w:space="0" w:color="auto"/>
          </w:divBdr>
        </w:div>
      </w:divsChild>
    </w:div>
    <w:div w:id="1842042979">
      <w:bodyDiv w:val="1"/>
      <w:marLeft w:val="0"/>
      <w:marRight w:val="0"/>
      <w:marTop w:val="0"/>
      <w:marBottom w:val="0"/>
      <w:divBdr>
        <w:top w:val="none" w:sz="0" w:space="0" w:color="auto"/>
        <w:left w:val="none" w:sz="0" w:space="0" w:color="auto"/>
        <w:bottom w:val="none" w:sz="0" w:space="0" w:color="auto"/>
        <w:right w:val="none" w:sz="0" w:space="0" w:color="auto"/>
      </w:divBdr>
    </w:div>
    <w:div w:id="1851486084">
      <w:bodyDiv w:val="1"/>
      <w:marLeft w:val="0"/>
      <w:marRight w:val="0"/>
      <w:marTop w:val="0"/>
      <w:marBottom w:val="0"/>
      <w:divBdr>
        <w:top w:val="none" w:sz="0" w:space="0" w:color="auto"/>
        <w:left w:val="none" w:sz="0" w:space="0" w:color="auto"/>
        <w:bottom w:val="none" w:sz="0" w:space="0" w:color="auto"/>
        <w:right w:val="none" w:sz="0" w:space="0" w:color="auto"/>
      </w:divBdr>
    </w:div>
    <w:div w:id="1853298348">
      <w:bodyDiv w:val="1"/>
      <w:marLeft w:val="0"/>
      <w:marRight w:val="0"/>
      <w:marTop w:val="0"/>
      <w:marBottom w:val="0"/>
      <w:divBdr>
        <w:top w:val="none" w:sz="0" w:space="0" w:color="auto"/>
        <w:left w:val="none" w:sz="0" w:space="0" w:color="auto"/>
        <w:bottom w:val="none" w:sz="0" w:space="0" w:color="auto"/>
        <w:right w:val="none" w:sz="0" w:space="0" w:color="auto"/>
      </w:divBdr>
      <w:divsChild>
        <w:div w:id="303658495">
          <w:marLeft w:val="0"/>
          <w:marRight w:val="0"/>
          <w:marTop w:val="0"/>
          <w:marBottom w:val="0"/>
          <w:divBdr>
            <w:top w:val="none" w:sz="0" w:space="0" w:color="auto"/>
            <w:left w:val="none" w:sz="0" w:space="0" w:color="auto"/>
            <w:bottom w:val="none" w:sz="0" w:space="0" w:color="auto"/>
            <w:right w:val="none" w:sz="0" w:space="0" w:color="auto"/>
          </w:divBdr>
        </w:div>
      </w:divsChild>
    </w:div>
    <w:div w:id="1858230227">
      <w:bodyDiv w:val="1"/>
      <w:marLeft w:val="0"/>
      <w:marRight w:val="0"/>
      <w:marTop w:val="0"/>
      <w:marBottom w:val="0"/>
      <w:divBdr>
        <w:top w:val="none" w:sz="0" w:space="0" w:color="auto"/>
        <w:left w:val="none" w:sz="0" w:space="0" w:color="auto"/>
        <w:bottom w:val="none" w:sz="0" w:space="0" w:color="auto"/>
        <w:right w:val="none" w:sz="0" w:space="0" w:color="auto"/>
      </w:divBdr>
    </w:div>
    <w:div w:id="1868981347">
      <w:bodyDiv w:val="1"/>
      <w:marLeft w:val="0"/>
      <w:marRight w:val="0"/>
      <w:marTop w:val="0"/>
      <w:marBottom w:val="0"/>
      <w:divBdr>
        <w:top w:val="none" w:sz="0" w:space="0" w:color="auto"/>
        <w:left w:val="none" w:sz="0" w:space="0" w:color="auto"/>
        <w:bottom w:val="none" w:sz="0" w:space="0" w:color="auto"/>
        <w:right w:val="none" w:sz="0" w:space="0" w:color="auto"/>
      </w:divBdr>
    </w:div>
    <w:div w:id="1880849547">
      <w:bodyDiv w:val="1"/>
      <w:marLeft w:val="0"/>
      <w:marRight w:val="0"/>
      <w:marTop w:val="0"/>
      <w:marBottom w:val="0"/>
      <w:divBdr>
        <w:top w:val="none" w:sz="0" w:space="0" w:color="auto"/>
        <w:left w:val="none" w:sz="0" w:space="0" w:color="auto"/>
        <w:bottom w:val="none" w:sz="0" w:space="0" w:color="auto"/>
        <w:right w:val="none" w:sz="0" w:space="0" w:color="auto"/>
      </w:divBdr>
      <w:divsChild>
        <w:div w:id="1787580661">
          <w:marLeft w:val="0"/>
          <w:marRight w:val="0"/>
          <w:marTop w:val="0"/>
          <w:marBottom w:val="0"/>
          <w:divBdr>
            <w:top w:val="none" w:sz="0" w:space="0" w:color="auto"/>
            <w:left w:val="none" w:sz="0" w:space="0" w:color="auto"/>
            <w:bottom w:val="none" w:sz="0" w:space="0" w:color="auto"/>
            <w:right w:val="none" w:sz="0" w:space="0" w:color="auto"/>
          </w:divBdr>
        </w:div>
      </w:divsChild>
    </w:div>
    <w:div w:id="1881821959">
      <w:bodyDiv w:val="1"/>
      <w:marLeft w:val="0"/>
      <w:marRight w:val="0"/>
      <w:marTop w:val="0"/>
      <w:marBottom w:val="0"/>
      <w:divBdr>
        <w:top w:val="none" w:sz="0" w:space="0" w:color="auto"/>
        <w:left w:val="none" w:sz="0" w:space="0" w:color="auto"/>
        <w:bottom w:val="none" w:sz="0" w:space="0" w:color="auto"/>
        <w:right w:val="none" w:sz="0" w:space="0" w:color="auto"/>
      </w:divBdr>
    </w:div>
    <w:div w:id="1886670989">
      <w:bodyDiv w:val="1"/>
      <w:marLeft w:val="0"/>
      <w:marRight w:val="0"/>
      <w:marTop w:val="0"/>
      <w:marBottom w:val="0"/>
      <w:divBdr>
        <w:top w:val="none" w:sz="0" w:space="0" w:color="auto"/>
        <w:left w:val="none" w:sz="0" w:space="0" w:color="auto"/>
        <w:bottom w:val="none" w:sz="0" w:space="0" w:color="auto"/>
        <w:right w:val="none" w:sz="0" w:space="0" w:color="auto"/>
      </w:divBdr>
      <w:divsChild>
        <w:div w:id="1645701604">
          <w:marLeft w:val="0"/>
          <w:marRight w:val="0"/>
          <w:marTop w:val="0"/>
          <w:marBottom w:val="0"/>
          <w:divBdr>
            <w:top w:val="none" w:sz="0" w:space="0" w:color="auto"/>
            <w:left w:val="none" w:sz="0" w:space="0" w:color="auto"/>
            <w:bottom w:val="none" w:sz="0" w:space="0" w:color="auto"/>
            <w:right w:val="none" w:sz="0" w:space="0" w:color="auto"/>
          </w:divBdr>
        </w:div>
      </w:divsChild>
    </w:div>
    <w:div w:id="1887722204">
      <w:bodyDiv w:val="1"/>
      <w:marLeft w:val="0"/>
      <w:marRight w:val="0"/>
      <w:marTop w:val="0"/>
      <w:marBottom w:val="0"/>
      <w:divBdr>
        <w:top w:val="none" w:sz="0" w:space="0" w:color="auto"/>
        <w:left w:val="none" w:sz="0" w:space="0" w:color="auto"/>
        <w:bottom w:val="none" w:sz="0" w:space="0" w:color="auto"/>
        <w:right w:val="none" w:sz="0" w:space="0" w:color="auto"/>
      </w:divBdr>
      <w:divsChild>
        <w:div w:id="1824202530">
          <w:marLeft w:val="0"/>
          <w:marRight w:val="0"/>
          <w:marTop w:val="0"/>
          <w:marBottom w:val="0"/>
          <w:divBdr>
            <w:top w:val="none" w:sz="0" w:space="0" w:color="auto"/>
            <w:left w:val="none" w:sz="0" w:space="0" w:color="auto"/>
            <w:bottom w:val="none" w:sz="0" w:space="0" w:color="auto"/>
            <w:right w:val="none" w:sz="0" w:space="0" w:color="auto"/>
          </w:divBdr>
        </w:div>
      </w:divsChild>
    </w:div>
    <w:div w:id="1900239358">
      <w:bodyDiv w:val="1"/>
      <w:marLeft w:val="0"/>
      <w:marRight w:val="0"/>
      <w:marTop w:val="0"/>
      <w:marBottom w:val="0"/>
      <w:divBdr>
        <w:top w:val="none" w:sz="0" w:space="0" w:color="auto"/>
        <w:left w:val="none" w:sz="0" w:space="0" w:color="auto"/>
        <w:bottom w:val="none" w:sz="0" w:space="0" w:color="auto"/>
        <w:right w:val="none" w:sz="0" w:space="0" w:color="auto"/>
      </w:divBdr>
      <w:divsChild>
        <w:div w:id="1401639474">
          <w:marLeft w:val="0"/>
          <w:marRight w:val="0"/>
          <w:marTop w:val="0"/>
          <w:marBottom w:val="0"/>
          <w:divBdr>
            <w:top w:val="none" w:sz="0" w:space="0" w:color="auto"/>
            <w:left w:val="none" w:sz="0" w:space="0" w:color="auto"/>
            <w:bottom w:val="none" w:sz="0" w:space="0" w:color="auto"/>
            <w:right w:val="none" w:sz="0" w:space="0" w:color="auto"/>
          </w:divBdr>
        </w:div>
      </w:divsChild>
    </w:div>
    <w:div w:id="1900827316">
      <w:bodyDiv w:val="1"/>
      <w:marLeft w:val="0"/>
      <w:marRight w:val="0"/>
      <w:marTop w:val="0"/>
      <w:marBottom w:val="0"/>
      <w:divBdr>
        <w:top w:val="none" w:sz="0" w:space="0" w:color="auto"/>
        <w:left w:val="none" w:sz="0" w:space="0" w:color="auto"/>
        <w:bottom w:val="none" w:sz="0" w:space="0" w:color="auto"/>
        <w:right w:val="none" w:sz="0" w:space="0" w:color="auto"/>
      </w:divBdr>
    </w:div>
    <w:div w:id="1914008204">
      <w:bodyDiv w:val="1"/>
      <w:marLeft w:val="0"/>
      <w:marRight w:val="0"/>
      <w:marTop w:val="0"/>
      <w:marBottom w:val="0"/>
      <w:divBdr>
        <w:top w:val="none" w:sz="0" w:space="0" w:color="auto"/>
        <w:left w:val="none" w:sz="0" w:space="0" w:color="auto"/>
        <w:bottom w:val="none" w:sz="0" w:space="0" w:color="auto"/>
        <w:right w:val="none" w:sz="0" w:space="0" w:color="auto"/>
      </w:divBdr>
    </w:div>
    <w:div w:id="1916086223">
      <w:bodyDiv w:val="1"/>
      <w:marLeft w:val="0"/>
      <w:marRight w:val="0"/>
      <w:marTop w:val="0"/>
      <w:marBottom w:val="0"/>
      <w:divBdr>
        <w:top w:val="none" w:sz="0" w:space="0" w:color="auto"/>
        <w:left w:val="none" w:sz="0" w:space="0" w:color="auto"/>
        <w:bottom w:val="none" w:sz="0" w:space="0" w:color="auto"/>
        <w:right w:val="none" w:sz="0" w:space="0" w:color="auto"/>
      </w:divBdr>
    </w:div>
    <w:div w:id="1919905515">
      <w:bodyDiv w:val="1"/>
      <w:marLeft w:val="0"/>
      <w:marRight w:val="0"/>
      <w:marTop w:val="0"/>
      <w:marBottom w:val="0"/>
      <w:divBdr>
        <w:top w:val="none" w:sz="0" w:space="0" w:color="auto"/>
        <w:left w:val="none" w:sz="0" w:space="0" w:color="auto"/>
        <w:bottom w:val="none" w:sz="0" w:space="0" w:color="auto"/>
        <w:right w:val="none" w:sz="0" w:space="0" w:color="auto"/>
      </w:divBdr>
      <w:divsChild>
        <w:div w:id="2059547561">
          <w:marLeft w:val="0"/>
          <w:marRight w:val="0"/>
          <w:marTop w:val="0"/>
          <w:marBottom w:val="0"/>
          <w:divBdr>
            <w:top w:val="none" w:sz="0" w:space="0" w:color="auto"/>
            <w:left w:val="none" w:sz="0" w:space="0" w:color="auto"/>
            <w:bottom w:val="none" w:sz="0" w:space="0" w:color="auto"/>
            <w:right w:val="none" w:sz="0" w:space="0" w:color="auto"/>
          </w:divBdr>
        </w:div>
      </w:divsChild>
    </w:div>
    <w:div w:id="1924025236">
      <w:bodyDiv w:val="1"/>
      <w:marLeft w:val="0"/>
      <w:marRight w:val="0"/>
      <w:marTop w:val="0"/>
      <w:marBottom w:val="0"/>
      <w:divBdr>
        <w:top w:val="none" w:sz="0" w:space="0" w:color="auto"/>
        <w:left w:val="none" w:sz="0" w:space="0" w:color="auto"/>
        <w:bottom w:val="none" w:sz="0" w:space="0" w:color="auto"/>
        <w:right w:val="none" w:sz="0" w:space="0" w:color="auto"/>
      </w:divBdr>
    </w:div>
    <w:div w:id="1974358882">
      <w:bodyDiv w:val="1"/>
      <w:marLeft w:val="0"/>
      <w:marRight w:val="0"/>
      <w:marTop w:val="0"/>
      <w:marBottom w:val="0"/>
      <w:divBdr>
        <w:top w:val="none" w:sz="0" w:space="0" w:color="auto"/>
        <w:left w:val="none" w:sz="0" w:space="0" w:color="auto"/>
        <w:bottom w:val="none" w:sz="0" w:space="0" w:color="auto"/>
        <w:right w:val="none" w:sz="0" w:space="0" w:color="auto"/>
      </w:divBdr>
      <w:divsChild>
        <w:div w:id="621226460">
          <w:marLeft w:val="0"/>
          <w:marRight w:val="0"/>
          <w:marTop w:val="0"/>
          <w:marBottom w:val="0"/>
          <w:divBdr>
            <w:top w:val="none" w:sz="0" w:space="0" w:color="auto"/>
            <w:left w:val="none" w:sz="0" w:space="0" w:color="auto"/>
            <w:bottom w:val="none" w:sz="0" w:space="0" w:color="auto"/>
            <w:right w:val="none" w:sz="0" w:space="0" w:color="auto"/>
          </w:divBdr>
        </w:div>
      </w:divsChild>
    </w:div>
    <w:div w:id="1996493239">
      <w:bodyDiv w:val="1"/>
      <w:marLeft w:val="0"/>
      <w:marRight w:val="0"/>
      <w:marTop w:val="0"/>
      <w:marBottom w:val="0"/>
      <w:divBdr>
        <w:top w:val="none" w:sz="0" w:space="0" w:color="auto"/>
        <w:left w:val="none" w:sz="0" w:space="0" w:color="auto"/>
        <w:bottom w:val="none" w:sz="0" w:space="0" w:color="auto"/>
        <w:right w:val="none" w:sz="0" w:space="0" w:color="auto"/>
      </w:divBdr>
      <w:divsChild>
        <w:div w:id="242375332">
          <w:marLeft w:val="0"/>
          <w:marRight w:val="0"/>
          <w:marTop w:val="0"/>
          <w:marBottom w:val="0"/>
          <w:divBdr>
            <w:top w:val="none" w:sz="0" w:space="0" w:color="auto"/>
            <w:left w:val="none" w:sz="0" w:space="0" w:color="auto"/>
            <w:bottom w:val="none" w:sz="0" w:space="0" w:color="auto"/>
            <w:right w:val="none" w:sz="0" w:space="0" w:color="auto"/>
          </w:divBdr>
        </w:div>
      </w:divsChild>
    </w:div>
    <w:div w:id="2044594590">
      <w:bodyDiv w:val="1"/>
      <w:marLeft w:val="0"/>
      <w:marRight w:val="0"/>
      <w:marTop w:val="0"/>
      <w:marBottom w:val="0"/>
      <w:divBdr>
        <w:top w:val="none" w:sz="0" w:space="0" w:color="auto"/>
        <w:left w:val="none" w:sz="0" w:space="0" w:color="auto"/>
        <w:bottom w:val="none" w:sz="0" w:space="0" w:color="auto"/>
        <w:right w:val="none" w:sz="0" w:space="0" w:color="auto"/>
      </w:divBdr>
    </w:div>
    <w:div w:id="2057002434">
      <w:bodyDiv w:val="1"/>
      <w:marLeft w:val="0"/>
      <w:marRight w:val="0"/>
      <w:marTop w:val="0"/>
      <w:marBottom w:val="0"/>
      <w:divBdr>
        <w:top w:val="none" w:sz="0" w:space="0" w:color="auto"/>
        <w:left w:val="none" w:sz="0" w:space="0" w:color="auto"/>
        <w:bottom w:val="none" w:sz="0" w:space="0" w:color="auto"/>
        <w:right w:val="none" w:sz="0" w:space="0" w:color="auto"/>
      </w:divBdr>
      <w:divsChild>
        <w:div w:id="192497198">
          <w:marLeft w:val="0"/>
          <w:marRight w:val="0"/>
          <w:marTop w:val="0"/>
          <w:marBottom w:val="0"/>
          <w:divBdr>
            <w:top w:val="none" w:sz="0" w:space="0" w:color="auto"/>
            <w:left w:val="none" w:sz="0" w:space="0" w:color="auto"/>
            <w:bottom w:val="none" w:sz="0" w:space="0" w:color="auto"/>
            <w:right w:val="none" w:sz="0" w:space="0" w:color="auto"/>
          </w:divBdr>
        </w:div>
      </w:divsChild>
    </w:div>
    <w:div w:id="2070808028">
      <w:bodyDiv w:val="1"/>
      <w:marLeft w:val="0"/>
      <w:marRight w:val="0"/>
      <w:marTop w:val="0"/>
      <w:marBottom w:val="0"/>
      <w:divBdr>
        <w:top w:val="none" w:sz="0" w:space="0" w:color="auto"/>
        <w:left w:val="none" w:sz="0" w:space="0" w:color="auto"/>
        <w:bottom w:val="none" w:sz="0" w:space="0" w:color="auto"/>
        <w:right w:val="none" w:sz="0" w:space="0" w:color="auto"/>
      </w:divBdr>
    </w:div>
    <w:div w:id="2072341542">
      <w:bodyDiv w:val="1"/>
      <w:marLeft w:val="0"/>
      <w:marRight w:val="0"/>
      <w:marTop w:val="0"/>
      <w:marBottom w:val="0"/>
      <w:divBdr>
        <w:top w:val="none" w:sz="0" w:space="0" w:color="auto"/>
        <w:left w:val="none" w:sz="0" w:space="0" w:color="auto"/>
        <w:bottom w:val="none" w:sz="0" w:space="0" w:color="auto"/>
        <w:right w:val="none" w:sz="0" w:space="0" w:color="auto"/>
      </w:divBdr>
    </w:div>
    <w:div w:id="2077386782">
      <w:bodyDiv w:val="1"/>
      <w:marLeft w:val="0"/>
      <w:marRight w:val="0"/>
      <w:marTop w:val="0"/>
      <w:marBottom w:val="0"/>
      <w:divBdr>
        <w:top w:val="none" w:sz="0" w:space="0" w:color="auto"/>
        <w:left w:val="none" w:sz="0" w:space="0" w:color="auto"/>
        <w:bottom w:val="none" w:sz="0" w:space="0" w:color="auto"/>
        <w:right w:val="none" w:sz="0" w:space="0" w:color="auto"/>
      </w:divBdr>
      <w:divsChild>
        <w:div w:id="944574555">
          <w:marLeft w:val="0"/>
          <w:marRight w:val="0"/>
          <w:marTop w:val="0"/>
          <w:marBottom w:val="0"/>
          <w:divBdr>
            <w:top w:val="none" w:sz="0" w:space="0" w:color="auto"/>
            <w:left w:val="none" w:sz="0" w:space="0" w:color="auto"/>
            <w:bottom w:val="none" w:sz="0" w:space="0" w:color="auto"/>
            <w:right w:val="none" w:sz="0" w:space="0" w:color="auto"/>
          </w:divBdr>
        </w:div>
      </w:divsChild>
    </w:div>
    <w:div w:id="2087608517">
      <w:bodyDiv w:val="1"/>
      <w:marLeft w:val="0"/>
      <w:marRight w:val="0"/>
      <w:marTop w:val="0"/>
      <w:marBottom w:val="0"/>
      <w:divBdr>
        <w:top w:val="none" w:sz="0" w:space="0" w:color="auto"/>
        <w:left w:val="none" w:sz="0" w:space="0" w:color="auto"/>
        <w:bottom w:val="none" w:sz="0" w:space="0" w:color="auto"/>
        <w:right w:val="none" w:sz="0" w:space="0" w:color="auto"/>
      </w:divBdr>
      <w:divsChild>
        <w:div w:id="691802310">
          <w:marLeft w:val="0"/>
          <w:marRight w:val="0"/>
          <w:marTop w:val="0"/>
          <w:marBottom w:val="0"/>
          <w:divBdr>
            <w:top w:val="none" w:sz="0" w:space="0" w:color="auto"/>
            <w:left w:val="none" w:sz="0" w:space="0" w:color="auto"/>
            <w:bottom w:val="none" w:sz="0" w:space="0" w:color="auto"/>
            <w:right w:val="none" w:sz="0" w:space="0" w:color="auto"/>
          </w:divBdr>
        </w:div>
      </w:divsChild>
    </w:div>
    <w:div w:id="2092578841">
      <w:bodyDiv w:val="1"/>
      <w:marLeft w:val="0"/>
      <w:marRight w:val="0"/>
      <w:marTop w:val="0"/>
      <w:marBottom w:val="0"/>
      <w:divBdr>
        <w:top w:val="none" w:sz="0" w:space="0" w:color="auto"/>
        <w:left w:val="none" w:sz="0" w:space="0" w:color="auto"/>
        <w:bottom w:val="none" w:sz="0" w:space="0" w:color="auto"/>
        <w:right w:val="none" w:sz="0" w:space="0" w:color="auto"/>
      </w:divBdr>
    </w:div>
    <w:div w:id="2121680670">
      <w:bodyDiv w:val="1"/>
      <w:marLeft w:val="0"/>
      <w:marRight w:val="0"/>
      <w:marTop w:val="0"/>
      <w:marBottom w:val="0"/>
      <w:divBdr>
        <w:top w:val="none" w:sz="0" w:space="0" w:color="auto"/>
        <w:left w:val="none" w:sz="0" w:space="0" w:color="auto"/>
        <w:bottom w:val="none" w:sz="0" w:space="0" w:color="auto"/>
        <w:right w:val="none" w:sz="0" w:space="0" w:color="auto"/>
      </w:divBdr>
    </w:div>
    <w:div w:id="2125884620">
      <w:bodyDiv w:val="1"/>
      <w:marLeft w:val="0"/>
      <w:marRight w:val="0"/>
      <w:marTop w:val="0"/>
      <w:marBottom w:val="0"/>
      <w:divBdr>
        <w:top w:val="none" w:sz="0" w:space="0" w:color="auto"/>
        <w:left w:val="none" w:sz="0" w:space="0" w:color="auto"/>
        <w:bottom w:val="none" w:sz="0" w:space="0" w:color="auto"/>
        <w:right w:val="none" w:sz="0" w:space="0" w:color="auto"/>
      </w:divBdr>
      <w:divsChild>
        <w:div w:id="320736016">
          <w:marLeft w:val="0"/>
          <w:marRight w:val="0"/>
          <w:marTop w:val="0"/>
          <w:marBottom w:val="0"/>
          <w:divBdr>
            <w:top w:val="none" w:sz="0" w:space="0" w:color="auto"/>
            <w:left w:val="none" w:sz="0" w:space="0" w:color="auto"/>
            <w:bottom w:val="none" w:sz="0" w:space="0" w:color="auto"/>
            <w:right w:val="none" w:sz="0" w:space="0" w:color="auto"/>
          </w:divBdr>
        </w:div>
        <w:div w:id="1152137667">
          <w:marLeft w:val="0"/>
          <w:marRight w:val="0"/>
          <w:marTop w:val="0"/>
          <w:marBottom w:val="0"/>
          <w:divBdr>
            <w:top w:val="none" w:sz="0" w:space="0" w:color="auto"/>
            <w:left w:val="none" w:sz="0" w:space="0" w:color="auto"/>
            <w:bottom w:val="none" w:sz="0" w:space="0" w:color="auto"/>
            <w:right w:val="none" w:sz="0" w:space="0" w:color="auto"/>
          </w:divBdr>
        </w:div>
      </w:divsChild>
    </w:div>
    <w:div w:id="2127187654">
      <w:bodyDiv w:val="1"/>
      <w:marLeft w:val="0"/>
      <w:marRight w:val="0"/>
      <w:marTop w:val="0"/>
      <w:marBottom w:val="0"/>
      <w:divBdr>
        <w:top w:val="none" w:sz="0" w:space="0" w:color="auto"/>
        <w:left w:val="none" w:sz="0" w:space="0" w:color="auto"/>
        <w:bottom w:val="none" w:sz="0" w:space="0" w:color="auto"/>
        <w:right w:val="none" w:sz="0" w:space="0" w:color="auto"/>
      </w:divBdr>
      <w:divsChild>
        <w:div w:id="349647805">
          <w:marLeft w:val="0"/>
          <w:marRight w:val="0"/>
          <w:marTop w:val="0"/>
          <w:marBottom w:val="0"/>
          <w:divBdr>
            <w:top w:val="none" w:sz="0" w:space="0" w:color="auto"/>
            <w:left w:val="none" w:sz="0" w:space="0" w:color="auto"/>
            <w:bottom w:val="none" w:sz="0" w:space="0" w:color="auto"/>
            <w:right w:val="none" w:sz="0" w:space="0" w:color="auto"/>
          </w:divBdr>
        </w:div>
      </w:divsChild>
    </w:div>
    <w:div w:id="2131120093">
      <w:bodyDiv w:val="1"/>
      <w:marLeft w:val="0"/>
      <w:marRight w:val="0"/>
      <w:marTop w:val="0"/>
      <w:marBottom w:val="0"/>
      <w:divBdr>
        <w:top w:val="none" w:sz="0" w:space="0" w:color="auto"/>
        <w:left w:val="none" w:sz="0" w:space="0" w:color="auto"/>
        <w:bottom w:val="none" w:sz="0" w:space="0" w:color="auto"/>
        <w:right w:val="none" w:sz="0" w:space="0" w:color="auto"/>
      </w:divBdr>
    </w:div>
    <w:div w:id="2139180517">
      <w:bodyDiv w:val="1"/>
      <w:marLeft w:val="0"/>
      <w:marRight w:val="0"/>
      <w:marTop w:val="0"/>
      <w:marBottom w:val="0"/>
      <w:divBdr>
        <w:top w:val="none" w:sz="0" w:space="0" w:color="auto"/>
        <w:left w:val="none" w:sz="0" w:space="0" w:color="auto"/>
        <w:bottom w:val="none" w:sz="0" w:space="0" w:color="auto"/>
        <w:right w:val="none" w:sz="0" w:space="0" w:color="auto"/>
      </w:divBdr>
    </w:div>
    <w:div w:id="2140566092">
      <w:bodyDiv w:val="1"/>
      <w:marLeft w:val="0"/>
      <w:marRight w:val="0"/>
      <w:marTop w:val="0"/>
      <w:marBottom w:val="0"/>
      <w:divBdr>
        <w:top w:val="none" w:sz="0" w:space="0" w:color="auto"/>
        <w:left w:val="none" w:sz="0" w:space="0" w:color="auto"/>
        <w:bottom w:val="none" w:sz="0" w:space="0" w:color="auto"/>
        <w:right w:val="none" w:sz="0" w:space="0" w:color="auto"/>
      </w:divBdr>
      <w:divsChild>
        <w:div w:id="1597445625">
          <w:marLeft w:val="0"/>
          <w:marRight w:val="0"/>
          <w:marTop w:val="0"/>
          <w:marBottom w:val="0"/>
          <w:divBdr>
            <w:top w:val="none" w:sz="0" w:space="0" w:color="auto"/>
            <w:left w:val="none" w:sz="0" w:space="0" w:color="auto"/>
            <w:bottom w:val="none" w:sz="0" w:space="0" w:color="auto"/>
            <w:right w:val="none" w:sz="0" w:space="0" w:color="auto"/>
          </w:divBdr>
        </w:div>
      </w:divsChild>
    </w:div>
    <w:div w:id="214318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ED7A0-806D-4BA1-AA13-A9A66EDC1831}">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60</TotalTime>
  <Pages>19</Pages>
  <Words>5840</Words>
  <Characters>33292</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WBG</Company>
  <LinksUpToDate>false</LinksUpToDate>
  <CharactersWithSpaces>39054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Platon</dc:creator>
  <cp:keywords/>
  <dc:description/>
  <cp:lastModifiedBy>Author</cp:lastModifiedBy>
  <cp:revision>24</cp:revision>
  <cp:lastPrinted>2025-12-13T13:46:00Z</cp:lastPrinted>
  <dcterms:created xsi:type="dcterms:W3CDTF">2026-05-22T15:38:00Z</dcterms:created>
  <dcterms:modified xsi:type="dcterms:W3CDTF">2026-06-19T12:14:00Z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c63c5403-d490-4203-b6b3-7692937174e2</vt:lpwstr>
  </property>
</Properties>
</file>