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77777777" w:rsidR="00922FEB" w:rsidRPr="00036F88" w:rsidRDefault="00922FEB" w:rsidP="00036F88">
      <w:pPr>
        <w:pStyle w:val="BodyText"/>
        <w:jc w:val="center"/>
        <w:rPr>
          <w:rFonts w:ascii="Times New Roman" w:hAnsi="Times New Roman" w:cs="Times New Roman"/>
          <w:sz w:val="18"/>
          <w:szCs w:val="18"/>
          <w:lang w:val="en-US"/>
        </w:rPr>
      </w:pPr>
      <w:r w:rsidRPr="00036F88">
        <w:rPr>
          <w:rFonts w:ascii="Times New Roman" w:hAnsi="Times New Roman" w:cs="Times New Roman"/>
          <w:sz w:val="18"/>
          <w:szCs w:val="18"/>
          <w:lang w:val="en-US"/>
        </w:rPr>
        <w:t>TRANSPOSITION TABLE</w:t>
      </w:r>
    </w:p>
    <w:p w14:paraId="34DF4CE6" w14:textId="77777777" w:rsidR="00922FEB" w:rsidRPr="00036F88" w:rsidRDefault="00922FEB" w:rsidP="00036F88">
      <w:pPr>
        <w:spacing w:after="0" w:line="240" w:lineRule="auto"/>
        <w:rPr>
          <w:rFonts w:ascii="Times New Roman" w:eastAsia="Times New Roman"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540"/>
        <w:gridCol w:w="5400"/>
        <w:gridCol w:w="540"/>
        <w:gridCol w:w="540"/>
        <w:gridCol w:w="5040"/>
        <w:gridCol w:w="720"/>
        <w:gridCol w:w="3420"/>
      </w:tblGrid>
      <w:tr w:rsidR="00260632" w:rsidRPr="00036F88" w14:paraId="61092F5B" w14:textId="77777777" w:rsidTr="003675BD">
        <w:trPr>
          <w:tblHeader/>
        </w:trPr>
        <w:tc>
          <w:tcPr>
            <w:tcW w:w="5940" w:type="dxa"/>
            <w:gridSpan w:val="2"/>
          </w:tcPr>
          <w:p w14:paraId="6481585E" w14:textId="6F8C4C05" w:rsidR="003675BD" w:rsidRDefault="003675BD" w:rsidP="00EA49D6">
            <w:pPr>
              <w:pBdr>
                <w:top w:val="nil"/>
                <w:left w:val="nil"/>
                <w:bottom w:val="nil"/>
                <w:right w:val="nil"/>
                <w:between w:val="nil"/>
              </w:pBdr>
              <w:spacing w:before="120"/>
              <w:jc w:val="both"/>
              <w:rPr>
                <w:rFonts w:ascii="Times New Roman" w:eastAsia="Calibri" w:hAnsi="Times New Roman" w:cs="Times New Roman"/>
                <w:sz w:val="18"/>
                <w:szCs w:val="18"/>
              </w:rPr>
            </w:pPr>
            <w:r>
              <w:rPr>
                <w:rFonts w:ascii="Times New Roman" w:eastAsia="Calibri" w:hAnsi="Times New Roman" w:cs="Times New Roman"/>
                <w:sz w:val="18"/>
                <w:szCs w:val="18"/>
              </w:rPr>
              <w:t>European Union legislation:</w:t>
            </w:r>
          </w:p>
          <w:p w14:paraId="7595DA82" w14:textId="27182648" w:rsidR="009D0B38" w:rsidRPr="00EA49D6" w:rsidRDefault="00462F38" w:rsidP="00EA49D6">
            <w:pPr>
              <w:pBdr>
                <w:top w:val="nil"/>
                <w:left w:val="nil"/>
                <w:bottom w:val="nil"/>
                <w:right w:val="nil"/>
                <w:between w:val="nil"/>
              </w:pBdr>
              <w:spacing w:before="120"/>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COUNCIL DIRECTIVE (EU) 2015/2376 of 8 December 2015 amending Directive 2011/16/EU as regards mandatory automatic exchange of information in the field of taxation</w:t>
            </w:r>
            <w:r w:rsidR="00EA49D6">
              <w:rPr>
                <w:rFonts w:ascii="Times New Roman" w:eastAsia="Calibri" w:hAnsi="Times New Roman" w:cs="Times New Roman"/>
                <w:sz w:val="18"/>
                <w:szCs w:val="18"/>
              </w:rPr>
              <w:t>.</w:t>
            </w:r>
          </w:p>
        </w:tc>
        <w:tc>
          <w:tcPr>
            <w:tcW w:w="10260" w:type="dxa"/>
            <w:gridSpan w:val="5"/>
            <w:vAlign w:val="center"/>
          </w:tcPr>
          <w:p w14:paraId="54ADD622" w14:textId="77777777" w:rsidR="003675BD" w:rsidRDefault="003675BD" w:rsidP="00036F88">
            <w:pPr>
              <w:jc w:val="both"/>
              <w:rPr>
                <w:rFonts w:ascii="Times New Roman" w:eastAsia="Calibri" w:hAnsi="Times New Roman" w:cs="Times New Roman"/>
                <w:sz w:val="18"/>
                <w:szCs w:val="18"/>
                <w:lang w:val="en-US"/>
              </w:rPr>
            </w:pPr>
          </w:p>
          <w:p w14:paraId="10ECADF5" w14:textId="744D4DC8" w:rsidR="00922FEB" w:rsidRDefault="00922FEB" w:rsidP="00036F88">
            <w:pPr>
              <w:jc w:val="both"/>
              <w:rPr>
                <w:rFonts w:ascii="Times New Roman" w:eastAsia="Calibri" w:hAnsi="Times New Roman" w:cs="Times New Roman"/>
                <w:sz w:val="18"/>
                <w:szCs w:val="18"/>
                <w:lang w:val="en-US"/>
              </w:rPr>
            </w:pPr>
            <w:r w:rsidRPr="00036F88">
              <w:rPr>
                <w:rFonts w:ascii="Times New Roman" w:eastAsia="Calibri" w:hAnsi="Times New Roman" w:cs="Times New Roman"/>
                <w:sz w:val="18"/>
                <w:szCs w:val="18"/>
                <w:lang w:val="en-US"/>
              </w:rPr>
              <w:t>Albanian legislation:</w:t>
            </w:r>
          </w:p>
          <w:p w14:paraId="7ACAF46C" w14:textId="77777777" w:rsidR="00462F38" w:rsidRPr="00036F88" w:rsidRDefault="00462F38" w:rsidP="00036F88">
            <w:pPr>
              <w:jc w:val="both"/>
              <w:rPr>
                <w:rFonts w:ascii="Times New Roman" w:eastAsia="Calibri" w:hAnsi="Times New Roman" w:cs="Times New Roman"/>
                <w:sz w:val="18"/>
                <w:szCs w:val="18"/>
                <w:lang w:val="en-US"/>
              </w:rPr>
            </w:pPr>
          </w:p>
          <w:p w14:paraId="6FF890AD" w14:textId="0161D947" w:rsidR="004F7895" w:rsidRPr="00EA49D6" w:rsidRDefault="003675BD" w:rsidP="00EA49D6">
            <w:pPr>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1. Draft law </w:t>
            </w:r>
            <w:r w:rsidR="00462F38" w:rsidRPr="00EA49D6">
              <w:rPr>
                <w:rFonts w:ascii="Times New Roman" w:eastAsia="Calibri" w:hAnsi="Times New Roman" w:cs="Times New Roman"/>
                <w:sz w:val="18"/>
                <w:szCs w:val="18"/>
              </w:rPr>
              <w:t>"</w:t>
            </w:r>
            <w:r w:rsidR="00B13469" w:rsidRPr="00EA49D6">
              <w:rPr>
                <w:rFonts w:ascii="Times New Roman" w:hAnsi="Times New Roman" w:cs="Times New Roman"/>
                <w:sz w:val="20"/>
                <w:szCs w:val="24"/>
              </w:rPr>
              <w:t>On automatic exchange of cross-border advance tax rulings and advance pricing agreements</w:t>
            </w:r>
            <w:r w:rsidR="00B13469" w:rsidRPr="00EA49D6">
              <w:rPr>
                <w:rFonts w:ascii="Times New Roman" w:eastAsia="Calibri" w:hAnsi="Times New Roman" w:cs="Times New Roman"/>
                <w:sz w:val="14"/>
                <w:szCs w:val="18"/>
              </w:rPr>
              <w:t xml:space="preserve">  </w:t>
            </w:r>
            <w:r w:rsidR="00462F38" w:rsidRPr="00EA49D6">
              <w:rPr>
                <w:rFonts w:ascii="Times New Roman" w:eastAsia="Calibri" w:hAnsi="Times New Roman" w:cs="Times New Roman"/>
                <w:sz w:val="18"/>
                <w:szCs w:val="18"/>
              </w:rPr>
              <w:t>"</w:t>
            </w:r>
          </w:p>
          <w:p w14:paraId="3102C9DB" w14:textId="77777777" w:rsidR="001D652C" w:rsidRPr="00036F88" w:rsidRDefault="001D652C" w:rsidP="00036F88">
            <w:pPr>
              <w:jc w:val="both"/>
              <w:rPr>
                <w:rFonts w:ascii="Times New Roman" w:hAnsi="Times New Roman" w:cs="Times New Roman"/>
                <w:sz w:val="18"/>
                <w:szCs w:val="18"/>
                <w:lang w:val="en-US"/>
              </w:rPr>
            </w:pPr>
            <w:r w:rsidRPr="00036F88">
              <w:rPr>
                <w:rFonts w:ascii="Times New Roman" w:hAnsi="Times New Roman" w:cs="Times New Roman"/>
                <w:sz w:val="18"/>
                <w:szCs w:val="18"/>
                <w:lang w:val="en-US"/>
              </w:rPr>
              <w:t>The overall degree of approximation with the national legislation:</w:t>
            </w:r>
          </w:p>
          <w:p w14:paraId="4854FB1C" w14:textId="77777777" w:rsidR="00EA49D6" w:rsidRDefault="00EA49D6" w:rsidP="00EA49D6">
            <w:pPr>
              <w:jc w:val="both"/>
              <w:rPr>
                <w:rFonts w:ascii="Times New Roman" w:hAnsi="Times New Roman" w:cs="Times New Roman"/>
                <w:sz w:val="18"/>
                <w:szCs w:val="18"/>
              </w:rPr>
            </w:pPr>
          </w:p>
          <w:p w14:paraId="5306AA67" w14:textId="538249C5" w:rsidR="001D652C" w:rsidRPr="00EA49D6" w:rsidRDefault="001D652C" w:rsidP="00EA49D6">
            <w:pPr>
              <w:jc w:val="both"/>
              <w:rPr>
                <w:rFonts w:ascii="Times New Roman" w:hAnsi="Times New Roman" w:cs="Times New Roman"/>
                <w:sz w:val="18"/>
                <w:szCs w:val="18"/>
              </w:rPr>
            </w:pPr>
            <w:r w:rsidRPr="00EA49D6">
              <w:rPr>
                <w:rFonts w:ascii="Times New Roman" w:hAnsi="Times New Roman" w:cs="Times New Roman"/>
                <w:sz w:val="18"/>
                <w:szCs w:val="18"/>
              </w:rPr>
              <w:t>F - full compliance</w:t>
            </w:r>
          </w:p>
          <w:p w14:paraId="41C41513" w14:textId="77777777" w:rsidR="001D652C" w:rsidRPr="00036F88" w:rsidRDefault="001D652C" w:rsidP="00036F88">
            <w:pPr>
              <w:jc w:val="both"/>
              <w:rPr>
                <w:rFonts w:ascii="Times New Roman" w:hAnsi="Times New Roman" w:cs="Times New Roman"/>
                <w:sz w:val="18"/>
                <w:szCs w:val="18"/>
              </w:rPr>
            </w:pPr>
            <w:r w:rsidRPr="00036F88">
              <w:rPr>
                <w:rFonts w:ascii="Times New Roman" w:hAnsi="Times New Roman" w:cs="Times New Roman"/>
                <w:sz w:val="18"/>
                <w:szCs w:val="18"/>
              </w:rPr>
              <w:t>P - partial compliance</w:t>
            </w:r>
          </w:p>
          <w:p w14:paraId="289EB650" w14:textId="14CE508D" w:rsidR="00922FEB" w:rsidRPr="00036F88" w:rsidRDefault="001D652C" w:rsidP="00036F88">
            <w:pPr>
              <w:jc w:val="both"/>
              <w:rPr>
                <w:rFonts w:ascii="Times New Roman" w:eastAsia="Calibri" w:hAnsi="Times New Roman" w:cs="Times New Roman"/>
                <w:sz w:val="18"/>
                <w:szCs w:val="18"/>
              </w:rPr>
            </w:pPr>
            <w:r w:rsidRPr="00036F88">
              <w:rPr>
                <w:rFonts w:ascii="Times New Roman" w:hAnsi="Times New Roman" w:cs="Times New Roman"/>
                <w:sz w:val="18"/>
                <w:szCs w:val="18"/>
              </w:rPr>
              <w:t>N - non-compliance</w:t>
            </w:r>
          </w:p>
          <w:p w14:paraId="6BC4DEF2" w14:textId="77777777" w:rsidR="00922FEB" w:rsidRPr="00036F88" w:rsidRDefault="00922FEB" w:rsidP="00036F88">
            <w:pPr>
              <w:rPr>
                <w:rFonts w:ascii="Times New Roman" w:eastAsia="Calibri" w:hAnsi="Times New Roman" w:cs="Times New Roman"/>
                <w:sz w:val="18"/>
                <w:szCs w:val="18"/>
              </w:rPr>
            </w:pPr>
          </w:p>
          <w:p w14:paraId="7AA9D97B" w14:textId="77777777" w:rsidR="00922FEB" w:rsidRPr="00036F88" w:rsidRDefault="00922FEB" w:rsidP="00036F88">
            <w:pPr>
              <w:rPr>
                <w:rFonts w:ascii="Times New Roman" w:eastAsia="Calibri" w:hAnsi="Times New Roman" w:cs="Times New Roman"/>
                <w:sz w:val="18"/>
                <w:szCs w:val="18"/>
              </w:rPr>
            </w:pPr>
            <w:r w:rsidRPr="00036F88">
              <w:rPr>
                <w:rFonts w:ascii="Times New Roman" w:eastAsia="Calibri" w:hAnsi="Times New Roman" w:cs="Times New Roman"/>
                <w:sz w:val="18"/>
                <w:szCs w:val="18"/>
              </w:rPr>
              <w:t xml:space="preserve"> </w:t>
            </w:r>
          </w:p>
        </w:tc>
      </w:tr>
      <w:tr w:rsidR="00260632" w:rsidRPr="00036F88" w14:paraId="01827783" w14:textId="77777777" w:rsidTr="003675BD">
        <w:trPr>
          <w:tblHeader/>
        </w:trPr>
        <w:tc>
          <w:tcPr>
            <w:tcW w:w="540" w:type="dxa"/>
            <w:shd w:val="clear" w:color="auto" w:fill="BFBFBF"/>
          </w:tcPr>
          <w:p w14:paraId="52A84D2B" w14:textId="721D3075" w:rsidR="004F619A" w:rsidRPr="00036F88" w:rsidRDefault="004F619A" w:rsidP="00036F88">
            <w:pPr>
              <w:jc w:val="center"/>
              <w:rPr>
                <w:rFonts w:ascii="Times New Roman" w:eastAsia="Times New Roman" w:hAnsi="Times New Roman" w:cs="Times New Roman"/>
                <w:sz w:val="18"/>
                <w:szCs w:val="18"/>
              </w:rPr>
            </w:pPr>
            <w:r w:rsidRPr="00036F88">
              <w:rPr>
                <w:rFonts w:ascii="Times New Roman" w:hAnsi="Times New Roman" w:cs="Times New Roman"/>
                <w:sz w:val="18"/>
                <w:szCs w:val="18"/>
              </w:rPr>
              <w:t>1</w:t>
            </w:r>
          </w:p>
        </w:tc>
        <w:tc>
          <w:tcPr>
            <w:tcW w:w="5400" w:type="dxa"/>
            <w:shd w:val="clear" w:color="auto" w:fill="BFBFBF"/>
          </w:tcPr>
          <w:p w14:paraId="1DA553D3" w14:textId="64D8F57B"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2</w:t>
            </w:r>
          </w:p>
        </w:tc>
        <w:tc>
          <w:tcPr>
            <w:tcW w:w="540" w:type="dxa"/>
            <w:shd w:val="clear" w:color="auto" w:fill="BFBFBF"/>
          </w:tcPr>
          <w:p w14:paraId="6A8D7A06" w14:textId="724E6EFC"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3</w:t>
            </w:r>
          </w:p>
        </w:tc>
        <w:tc>
          <w:tcPr>
            <w:tcW w:w="540" w:type="dxa"/>
            <w:shd w:val="clear" w:color="auto" w:fill="BFBFBF"/>
          </w:tcPr>
          <w:p w14:paraId="508F371C" w14:textId="4604AAB0"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4</w:t>
            </w:r>
          </w:p>
        </w:tc>
        <w:tc>
          <w:tcPr>
            <w:tcW w:w="5040" w:type="dxa"/>
            <w:shd w:val="clear" w:color="auto" w:fill="BFBFBF"/>
          </w:tcPr>
          <w:p w14:paraId="2141FB79" w14:textId="3C150691"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5</w:t>
            </w:r>
          </w:p>
        </w:tc>
        <w:tc>
          <w:tcPr>
            <w:tcW w:w="720" w:type="dxa"/>
            <w:shd w:val="clear" w:color="auto" w:fill="BFBFBF"/>
          </w:tcPr>
          <w:p w14:paraId="7B5923AD" w14:textId="0DA9C058"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6</w:t>
            </w:r>
          </w:p>
        </w:tc>
        <w:tc>
          <w:tcPr>
            <w:tcW w:w="3420" w:type="dxa"/>
            <w:shd w:val="clear" w:color="auto" w:fill="BFBFBF"/>
          </w:tcPr>
          <w:p w14:paraId="25BA9212" w14:textId="4444B760"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7</w:t>
            </w:r>
          </w:p>
        </w:tc>
      </w:tr>
      <w:tr w:rsidR="00260632" w:rsidRPr="00036F88" w14:paraId="405531F1" w14:textId="77777777" w:rsidTr="003675BD">
        <w:trPr>
          <w:tblHeader/>
        </w:trPr>
        <w:tc>
          <w:tcPr>
            <w:tcW w:w="540" w:type="dxa"/>
            <w:shd w:val="clear" w:color="auto" w:fill="BFBFBF"/>
            <w:vAlign w:val="center"/>
          </w:tcPr>
          <w:p w14:paraId="1E9FDE14" w14:textId="77777777" w:rsidR="004F619A" w:rsidRPr="00036F88" w:rsidRDefault="004F619A" w:rsidP="00036F88">
            <w:pPr>
              <w:jc w:val="center"/>
              <w:rPr>
                <w:rFonts w:ascii="Times New Roman" w:eastAsia="Times New Roman" w:hAnsi="Times New Roman" w:cs="Times New Roman"/>
                <w:sz w:val="18"/>
                <w:szCs w:val="18"/>
                <w:lang w:val="en-US"/>
              </w:rPr>
            </w:pPr>
            <w:r w:rsidRPr="00036F88">
              <w:rPr>
                <w:rFonts w:ascii="Times New Roman" w:eastAsia="Times New Roman" w:hAnsi="Times New Roman" w:cs="Times New Roman"/>
                <w:sz w:val="18"/>
                <w:szCs w:val="18"/>
                <w:lang w:val="en-US"/>
              </w:rPr>
              <w:t>Article</w:t>
            </w:r>
          </w:p>
        </w:tc>
        <w:tc>
          <w:tcPr>
            <w:tcW w:w="5400" w:type="dxa"/>
            <w:shd w:val="clear" w:color="auto" w:fill="BFBFBF"/>
            <w:vAlign w:val="center"/>
          </w:tcPr>
          <w:p w14:paraId="76176853" w14:textId="77777777" w:rsidR="004F619A" w:rsidRPr="00036F88" w:rsidRDefault="004F619A" w:rsidP="00036F88">
            <w:pPr>
              <w:jc w:val="center"/>
              <w:rPr>
                <w:rFonts w:ascii="Times New Roman" w:eastAsia="Times New Roman" w:hAnsi="Times New Roman" w:cs="Times New Roman"/>
                <w:i/>
                <w:sz w:val="18"/>
                <w:szCs w:val="18"/>
                <w:lang w:val="en-US"/>
              </w:rPr>
            </w:pPr>
            <w:r w:rsidRPr="00036F88">
              <w:rPr>
                <w:rFonts w:ascii="Times New Roman" w:eastAsia="Times New Roman" w:hAnsi="Times New Roman" w:cs="Times New Roman"/>
                <w:i/>
                <w:sz w:val="18"/>
                <w:szCs w:val="18"/>
                <w:lang w:val="en-US"/>
              </w:rPr>
              <w:t>Text</w:t>
            </w:r>
          </w:p>
        </w:tc>
        <w:tc>
          <w:tcPr>
            <w:tcW w:w="540" w:type="dxa"/>
            <w:shd w:val="clear" w:color="auto" w:fill="BFBFBF"/>
            <w:vAlign w:val="center"/>
          </w:tcPr>
          <w:p w14:paraId="7B0A27CB" w14:textId="77777777" w:rsidR="004F619A" w:rsidRPr="00036F88" w:rsidRDefault="004F619A" w:rsidP="00036F88">
            <w:pPr>
              <w:jc w:val="center"/>
              <w:rPr>
                <w:rFonts w:ascii="Times New Roman" w:eastAsia="Times New Roman" w:hAnsi="Times New Roman" w:cs="Times New Roman"/>
                <w:i/>
                <w:sz w:val="18"/>
                <w:szCs w:val="18"/>
                <w:lang w:val="en-US"/>
              </w:rPr>
            </w:pPr>
            <w:r w:rsidRPr="00036F88">
              <w:rPr>
                <w:rFonts w:ascii="Times New Roman" w:eastAsia="Times New Roman" w:hAnsi="Times New Roman" w:cs="Times New Roman"/>
                <w:i/>
                <w:sz w:val="18"/>
                <w:szCs w:val="18"/>
                <w:lang w:val="en-US"/>
              </w:rPr>
              <w:t>References</w:t>
            </w:r>
          </w:p>
        </w:tc>
        <w:tc>
          <w:tcPr>
            <w:tcW w:w="540" w:type="dxa"/>
            <w:shd w:val="clear" w:color="auto" w:fill="BFBFBF"/>
            <w:vAlign w:val="center"/>
          </w:tcPr>
          <w:p w14:paraId="4FA58976" w14:textId="77777777" w:rsidR="004F619A" w:rsidRPr="00036F88" w:rsidRDefault="004F619A" w:rsidP="00036F88">
            <w:pPr>
              <w:jc w:val="center"/>
              <w:rPr>
                <w:rFonts w:ascii="Times New Roman" w:eastAsia="Times New Roman" w:hAnsi="Times New Roman" w:cs="Times New Roman"/>
                <w:i/>
                <w:sz w:val="18"/>
                <w:szCs w:val="18"/>
                <w:lang w:val="en-US"/>
              </w:rPr>
            </w:pPr>
            <w:r w:rsidRPr="00036F88">
              <w:rPr>
                <w:rFonts w:ascii="Times New Roman" w:eastAsia="Times New Roman" w:hAnsi="Times New Roman" w:cs="Times New Roman"/>
                <w:i/>
                <w:sz w:val="18"/>
                <w:szCs w:val="18"/>
                <w:lang w:val="en-US"/>
              </w:rPr>
              <w:t>Article</w:t>
            </w:r>
          </w:p>
        </w:tc>
        <w:tc>
          <w:tcPr>
            <w:tcW w:w="5040" w:type="dxa"/>
            <w:shd w:val="clear" w:color="auto" w:fill="BFBFBF"/>
            <w:vAlign w:val="center"/>
          </w:tcPr>
          <w:p w14:paraId="1C97514E" w14:textId="77777777" w:rsidR="004F619A" w:rsidRPr="00036F88" w:rsidRDefault="004F619A" w:rsidP="00036F88">
            <w:pPr>
              <w:jc w:val="center"/>
              <w:rPr>
                <w:rFonts w:ascii="Times New Roman" w:eastAsia="Times New Roman" w:hAnsi="Times New Roman" w:cs="Times New Roman"/>
                <w:i/>
                <w:sz w:val="18"/>
                <w:szCs w:val="18"/>
                <w:lang w:val="en-US"/>
              </w:rPr>
            </w:pPr>
            <w:r w:rsidRPr="00036F88">
              <w:rPr>
                <w:rFonts w:ascii="Times New Roman" w:eastAsia="Times New Roman" w:hAnsi="Times New Roman" w:cs="Times New Roman"/>
                <w:i/>
                <w:sz w:val="18"/>
                <w:szCs w:val="18"/>
                <w:lang w:val="en-US"/>
              </w:rPr>
              <w:t>Text</w:t>
            </w:r>
          </w:p>
        </w:tc>
        <w:tc>
          <w:tcPr>
            <w:tcW w:w="720" w:type="dxa"/>
            <w:shd w:val="clear" w:color="auto" w:fill="BFBFBF"/>
            <w:vAlign w:val="center"/>
          </w:tcPr>
          <w:p w14:paraId="7416E437" w14:textId="77777777" w:rsidR="004F619A" w:rsidRPr="00036F88" w:rsidRDefault="004F619A" w:rsidP="00036F88">
            <w:pPr>
              <w:jc w:val="center"/>
              <w:rPr>
                <w:rFonts w:ascii="Times New Roman" w:eastAsia="Times New Roman" w:hAnsi="Times New Roman" w:cs="Times New Roman"/>
                <w:i/>
                <w:sz w:val="18"/>
                <w:szCs w:val="18"/>
                <w:lang w:val="en-US"/>
              </w:rPr>
            </w:pPr>
            <w:r w:rsidRPr="00036F88">
              <w:rPr>
                <w:rFonts w:ascii="Times New Roman" w:eastAsia="Times New Roman" w:hAnsi="Times New Roman" w:cs="Times New Roman"/>
                <w:i/>
                <w:sz w:val="18"/>
                <w:szCs w:val="18"/>
                <w:lang w:val="en-US"/>
              </w:rPr>
              <w:t>Compliance</w:t>
            </w:r>
          </w:p>
        </w:tc>
        <w:tc>
          <w:tcPr>
            <w:tcW w:w="3420" w:type="dxa"/>
            <w:shd w:val="clear" w:color="auto" w:fill="BFBFBF"/>
            <w:vAlign w:val="center"/>
          </w:tcPr>
          <w:p w14:paraId="2D3E0BBE" w14:textId="77777777" w:rsidR="004F619A" w:rsidRPr="00036F88" w:rsidRDefault="004F619A" w:rsidP="00036F88">
            <w:pPr>
              <w:jc w:val="center"/>
              <w:rPr>
                <w:rFonts w:ascii="Times New Roman" w:eastAsia="Times New Roman" w:hAnsi="Times New Roman" w:cs="Times New Roman"/>
                <w:i/>
                <w:sz w:val="18"/>
                <w:szCs w:val="18"/>
                <w:lang w:val="en-US"/>
              </w:rPr>
            </w:pPr>
            <w:r w:rsidRPr="00036F88">
              <w:rPr>
                <w:rFonts w:ascii="Times New Roman" w:eastAsia="Times New Roman" w:hAnsi="Times New Roman" w:cs="Times New Roman"/>
                <w:i/>
                <w:sz w:val="18"/>
                <w:szCs w:val="18"/>
                <w:lang w:val="en-US"/>
              </w:rPr>
              <w:t>Notes</w:t>
            </w:r>
          </w:p>
        </w:tc>
      </w:tr>
    </w:tbl>
    <w:p w14:paraId="1F69D40D" w14:textId="3855042B" w:rsidR="00922FEB" w:rsidRPr="00036F88" w:rsidRDefault="00922FEB" w:rsidP="00036F88">
      <w:pPr>
        <w:spacing w:after="200" w:line="240" w:lineRule="auto"/>
        <w:rPr>
          <w:rFonts w:ascii="Times New Roman" w:eastAsia="Calibri"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540"/>
        <w:gridCol w:w="5400"/>
        <w:gridCol w:w="540"/>
        <w:gridCol w:w="554"/>
        <w:gridCol w:w="5040"/>
        <w:gridCol w:w="720"/>
        <w:gridCol w:w="3406"/>
      </w:tblGrid>
      <w:tr w:rsidR="00260632" w:rsidRPr="00EA49D6" w14:paraId="32F4D837" w14:textId="77777777" w:rsidTr="003675BD">
        <w:trPr>
          <w:tblHeader/>
        </w:trPr>
        <w:tc>
          <w:tcPr>
            <w:tcW w:w="540" w:type="dxa"/>
            <w:shd w:val="clear" w:color="auto" w:fill="BFBFBF"/>
          </w:tcPr>
          <w:p w14:paraId="623B109C" w14:textId="4AA779B1" w:rsidR="000A7EA3" w:rsidRPr="00EA49D6" w:rsidRDefault="000A7EA3" w:rsidP="00036F88">
            <w:pPr>
              <w:jc w:val="center"/>
              <w:rPr>
                <w:rFonts w:ascii="Times New Roman" w:eastAsia="Times New Roman" w:hAnsi="Times New Roman" w:cs="Times New Roman"/>
                <w:sz w:val="18"/>
                <w:szCs w:val="18"/>
              </w:rPr>
            </w:pPr>
            <w:r w:rsidRPr="00EA49D6">
              <w:rPr>
                <w:rFonts w:ascii="Times New Roman" w:hAnsi="Times New Roman" w:cs="Times New Roman"/>
                <w:sz w:val="18"/>
                <w:szCs w:val="18"/>
              </w:rPr>
              <w:t>1</w:t>
            </w:r>
          </w:p>
        </w:tc>
        <w:tc>
          <w:tcPr>
            <w:tcW w:w="5400" w:type="dxa"/>
            <w:shd w:val="clear" w:color="auto" w:fill="BFBFBF"/>
          </w:tcPr>
          <w:p w14:paraId="0EF916BA" w14:textId="15F44D6D" w:rsidR="000A7EA3" w:rsidRPr="00EA49D6" w:rsidRDefault="000A7EA3" w:rsidP="00036F88">
            <w:pPr>
              <w:jc w:val="center"/>
              <w:rPr>
                <w:rFonts w:ascii="Times New Roman" w:eastAsia="Times New Roman" w:hAnsi="Times New Roman" w:cs="Times New Roman"/>
                <w:iCs/>
                <w:sz w:val="18"/>
                <w:szCs w:val="18"/>
              </w:rPr>
            </w:pPr>
            <w:r w:rsidRPr="00EA49D6">
              <w:rPr>
                <w:rFonts w:ascii="Times New Roman" w:hAnsi="Times New Roman" w:cs="Times New Roman"/>
                <w:sz w:val="18"/>
                <w:szCs w:val="18"/>
              </w:rPr>
              <w:t>2</w:t>
            </w:r>
          </w:p>
        </w:tc>
        <w:tc>
          <w:tcPr>
            <w:tcW w:w="540" w:type="dxa"/>
            <w:shd w:val="clear" w:color="auto" w:fill="D0CECE" w:themeFill="background2" w:themeFillShade="E6"/>
          </w:tcPr>
          <w:p w14:paraId="04E9A02F" w14:textId="584B0512" w:rsidR="000A7EA3" w:rsidRPr="00EA49D6" w:rsidRDefault="000A7EA3" w:rsidP="00036F88">
            <w:pPr>
              <w:jc w:val="center"/>
              <w:rPr>
                <w:rFonts w:ascii="Times New Roman" w:hAnsi="Times New Roman" w:cs="Times New Roman"/>
                <w:sz w:val="18"/>
                <w:szCs w:val="18"/>
              </w:rPr>
            </w:pPr>
            <w:r w:rsidRPr="00EA49D6">
              <w:rPr>
                <w:rFonts w:ascii="Times New Roman" w:hAnsi="Times New Roman" w:cs="Times New Roman"/>
                <w:sz w:val="18"/>
                <w:szCs w:val="18"/>
              </w:rPr>
              <w:t>3</w:t>
            </w:r>
          </w:p>
        </w:tc>
        <w:tc>
          <w:tcPr>
            <w:tcW w:w="554" w:type="dxa"/>
            <w:shd w:val="clear" w:color="auto" w:fill="BFBFBF"/>
          </w:tcPr>
          <w:p w14:paraId="11B2F0E9" w14:textId="510E5F67" w:rsidR="000A7EA3" w:rsidRPr="00EA49D6" w:rsidRDefault="000A7EA3" w:rsidP="00036F88">
            <w:pPr>
              <w:jc w:val="center"/>
              <w:rPr>
                <w:rFonts w:ascii="Times New Roman" w:eastAsia="Times New Roman" w:hAnsi="Times New Roman" w:cs="Times New Roman"/>
                <w:i/>
                <w:sz w:val="18"/>
                <w:szCs w:val="18"/>
              </w:rPr>
            </w:pPr>
            <w:r w:rsidRPr="00EA49D6">
              <w:rPr>
                <w:rFonts w:ascii="Times New Roman" w:hAnsi="Times New Roman" w:cs="Times New Roman"/>
                <w:sz w:val="18"/>
                <w:szCs w:val="18"/>
              </w:rPr>
              <w:t>4</w:t>
            </w:r>
          </w:p>
        </w:tc>
        <w:tc>
          <w:tcPr>
            <w:tcW w:w="5040" w:type="dxa"/>
            <w:shd w:val="clear" w:color="auto" w:fill="BFBFBF"/>
          </w:tcPr>
          <w:p w14:paraId="18D0D936" w14:textId="2F6EC06B" w:rsidR="000A7EA3" w:rsidRPr="00EA49D6" w:rsidRDefault="000A7EA3" w:rsidP="00036F88">
            <w:pPr>
              <w:jc w:val="center"/>
              <w:rPr>
                <w:rFonts w:ascii="Times New Roman" w:eastAsia="Times New Roman" w:hAnsi="Times New Roman" w:cs="Times New Roman"/>
                <w:i/>
                <w:sz w:val="18"/>
                <w:szCs w:val="18"/>
              </w:rPr>
            </w:pPr>
            <w:r w:rsidRPr="00EA49D6">
              <w:rPr>
                <w:rFonts w:ascii="Times New Roman" w:hAnsi="Times New Roman" w:cs="Times New Roman"/>
                <w:sz w:val="18"/>
                <w:szCs w:val="18"/>
              </w:rPr>
              <w:t>5</w:t>
            </w:r>
          </w:p>
        </w:tc>
        <w:tc>
          <w:tcPr>
            <w:tcW w:w="720" w:type="dxa"/>
            <w:shd w:val="clear" w:color="auto" w:fill="BFBFBF"/>
          </w:tcPr>
          <w:p w14:paraId="1F29B9CC" w14:textId="46D8A615" w:rsidR="000A7EA3" w:rsidRPr="00EA49D6" w:rsidRDefault="000A7EA3" w:rsidP="00036F88">
            <w:pPr>
              <w:jc w:val="center"/>
              <w:rPr>
                <w:rFonts w:ascii="Times New Roman" w:eastAsia="Times New Roman" w:hAnsi="Times New Roman" w:cs="Times New Roman"/>
                <w:i/>
                <w:sz w:val="18"/>
                <w:szCs w:val="18"/>
              </w:rPr>
            </w:pPr>
            <w:r w:rsidRPr="00EA49D6">
              <w:rPr>
                <w:rFonts w:ascii="Times New Roman" w:hAnsi="Times New Roman" w:cs="Times New Roman"/>
                <w:sz w:val="18"/>
                <w:szCs w:val="18"/>
              </w:rPr>
              <w:t>6</w:t>
            </w:r>
          </w:p>
        </w:tc>
        <w:tc>
          <w:tcPr>
            <w:tcW w:w="3406" w:type="dxa"/>
            <w:shd w:val="clear" w:color="auto" w:fill="BFBFBF"/>
          </w:tcPr>
          <w:p w14:paraId="1EC97E09" w14:textId="00684BF9" w:rsidR="000A7EA3" w:rsidRPr="00EA49D6" w:rsidRDefault="000A7EA3" w:rsidP="00036F88">
            <w:pPr>
              <w:jc w:val="center"/>
              <w:rPr>
                <w:rFonts w:ascii="Times New Roman" w:eastAsia="Times New Roman" w:hAnsi="Times New Roman" w:cs="Times New Roman"/>
                <w:i/>
                <w:sz w:val="18"/>
                <w:szCs w:val="18"/>
              </w:rPr>
            </w:pPr>
            <w:r w:rsidRPr="00EA49D6">
              <w:rPr>
                <w:rFonts w:ascii="Times New Roman" w:hAnsi="Times New Roman" w:cs="Times New Roman"/>
                <w:sz w:val="18"/>
                <w:szCs w:val="18"/>
              </w:rPr>
              <w:t>7</w:t>
            </w:r>
          </w:p>
        </w:tc>
      </w:tr>
      <w:tr w:rsidR="00260632" w:rsidRPr="00EA49D6" w14:paraId="33DF4310" w14:textId="77777777" w:rsidTr="003675BD">
        <w:trPr>
          <w:tblHeader/>
        </w:trPr>
        <w:tc>
          <w:tcPr>
            <w:tcW w:w="540" w:type="dxa"/>
            <w:shd w:val="clear" w:color="auto" w:fill="BFBFBF"/>
            <w:vAlign w:val="center"/>
          </w:tcPr>
          <w:p w14:paraId="39F8C6F9" w14:textId="77777777" w:rsidR="000A7EA3" w:rsidRPr="00EA49D6" w:rsidRDefault="000A7EA3" w:rsidP="00036F88">
            <w:pPr>
              <w:jc w:val="center"/>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Article</w:t>
            </w:r>
          </w:p>
        </w:tc>
        <w:tc>
          <w:tcPr>
            <w:tcW w:w="5400" w:type="dxa"/>
            <w:shd w:val="clear" w:color="auto" w:fill="BFBFBF"/>
            <w:vAlign w:val="center"/>
          </w:tcPr>
          <w:p w14:paraId="17F6068A" w14:textId="77777777" w:rsidR="000A7EA3" w:rsidRPr="00EA49D6" w:rsidRDefault="000A7EA3" w:rsidP="00036F88">
            <w:pPr>
              <w:jc w:val="center"/>
              <w:rPr>
                <w:rFonts w:ascii="Times New Roman" w:eastAsia="Times New Roman" w:hAnsi="Times New Roman" w:cs="Times New Roman"/>
                <w:iCs/>
                <w:sz w:val="18"/>
                <w:szCs w:val="18"/>
                <w:lang w:val="en-US"/>
              </w:rPr>
            </w:pPr>
            <w:r w:rsidRPr="00EA49D6">
              <w:rPr>
                <w:rFonts w:ascii="Times New Roman" w:eastAsia="Times New Roman" w:hAnsi="Times New Roman" w:cs="Times New Roman"/>
                <w:iCs/>
                <w:sz w:val="18"/>
                <w:szCs w:val="18"/>
                <w:lang w:val="en-US"/>
              </w:rPr>
              <w:t>Text</w:t>
            </w:r>
          </w:p>
        </w:tc>
        <w:tc>
          <w:tcPr>
            <w:tcW w:w="540" w:type="dxa"/>
            <w:shd w:val="clear" w:color="auto" w:fill="D0CECE" w:themeFill="background2" w:themeFillShade="E6"/>
          </w:tcPr>
          <w:p w14:paraId="476E07DB" w14:textId="1B56A2D0" w:rsidR="000A7EA3" w:rsidRPr="00EA49D6" w:rsidRDefault="000A7EA3" w:rsidP="00036F88">
            <w:pPr>
              <w:jc w:val="center"/>
              <w:rPr>
                <w:rFonts w:ascii="Times New Roman" w:hAnsi="Times New Roman" w:cs="Times New Roman"/>
                <w:sz w:val="18"/>
                <w:szCs w:val="18"/>
              </w:rPr>
            </w:pPr>
            <w:r w:rsidRPr="00EA49D6">
              <w:rPr>
                <w:rFonts w:ascii="Times New Roman" w:hAnsi="Times New Roman" w:cs="Times New Roman"/>
                <w:sz w:val="18"/>
                <w:szCs w:val="18"/>
              </w:rPr>
              <w:t>References</w:t>
            </w:r>
          </w:p>
        </w:tc>
        <w:tc>
          <w:tcPr>
            <w:tcW w:w="554" w:type="dxa"/>
            <w:shd w:val="clear" w:color="auto" w:fill="BFBFBF"/>
            <w:vAlign w:val="center"/>
          </w:tcPr>
          <w:p w14:paraId="5B81B475" w14:textId="25304259" w:rsidR="000A7EA3" w:rsidRPr="00EA49D6" w:rsidRDefault="000A7EA3" w:rsidP="00036F88">
            <w:pPr>
              <w:jc w:val="center"/>
              <w:rPr>
                <w:rFonts w:ascii="Times New Roman" w:eastAsia="Times New Roman" w:hAnsi="Times New Roman" w:cs="Times New Roman"/>
                <w:i/>
                <w:sz w:val="18"/>
                <w:szCs w:val="18"/>
                <w:lang w:val="en-US"/>
              </w:rPr>
            </w:pPr>
            <w:r w:rsidRPr="00EA49D6">
              <w:rPr>
                <w:rFonts w:ascii="Times New Roman" w:eastAsia="Times New Roman" w:hAnsi="Times New Roman" w:cs="Times New Roman"/>
                <w:i/>
                <w:sz w:val="18"/>
                <w:szCs w:val="18"/>
                <w:lang w:val="en-US"/>
              </w:rPr>
              <w:t>Article</w:t>
            </w:r>
          </w:p>
        </w:tc>
        <w:tc>
          <w:tcPr>
            <w:tcW w:w="5040" w:type="dxa"/>
            <w:shd w:val="clear" w:color="auto" w:fill="BFBFBF"/>
            <w:vAlign w:val="center"/>
          </w:tcPr>
          <w:p w14:paraId="19F4D508" w14:textId="77777777" w:rsidR="000A7EA3" w:rsidRPr="00EA49D6" w:rsidRDefault="000A7EA3" w:rsidP="00036F88">
            <w:pPr>
              <w:jc w:val="center"/>
              <w:rPr>
                <w:rFonts w:ascii="Times New Roman" w:eastAsia="Times New Roman" w:hAnsi="Times New Roman" w:cs="Times New Roman"/>
                <w:i/>
                <w:sz w:val="18"/>
                <w:szCs w:val="18"/>
                <w:lang w:val="en-US"/>
              </w:rPr>
            </w:pPr>
            <w:r w:rsidRPr="00EA49D6">
              <w:rPr>
                <w:rFonts w:ascii="Times New Roman" w:eastAsia="Times New Roman" w:hAnsi="Times New Roman" w:cs="Times New Roman"/>
                <w:i/>
                <w:sz w:val="18"/>
                <w:szCs w:val="18"/>
                <w:lang w:val="en-US"/>
              </w:rPr>
              <w:t>Text</w:t>
            </w:r>
          </w:p>
        </w:tc>
        <w:tc>
          <w:tcPr>
            <w:tcW w:w="720" w:type="dxa"/>
            <w:shd w:val="clear" w:color="auto" w:fill="BFBFBF"/>
            <w:vAlign w:val="center"/>
          </w:tcPr>
          <w:p w14:paraId="609D564B" w14:textId="77777777" w:rsidR="000A7EA3" w:rsidRPr="00EA49D6" w:rsidRDefault="000A7EA3" w:rsidP="00036F88">
            <w:pPr>
              <w:jc w:val="center"/>
              <w:rPr>
                <w:rFonts w:ascii="Times New Roman" w:eastAsia="Times New Roman" w:hAnsi="Times New Roman" w:cs="Times New Roman"/>
                <w:i/>
                <w:sz w:val="18"/>
                <w:szCs w:val="18"/>
                <w:lang w:val="en-US"/>
              </w:rPr>
            </w:pPr>
            <w:r w:rsidRPr="00EA49D6">
              <w:rPr>
                <w:rFonts w:ascii="Times New Roman" w:eastAsia="Times New Roman" w:hAnsi="Times New Roman" w:cs="Times New Roman"/>
                <w:i/>
                <w:sz w:val="18"/>
                <w:szCs w:val="18"/>
                <w:lang w:val="en-US"/>
              </w:rPr>
              <w:t>Compliance</w:t>
            </w:r>
          </w:p>
        </w:tc>
        <w:tc>
          <w:tcPr>
            <w:tcW w:w="3406" w:type="dxa"/>
            <w:shd w:val="clear" w:color="auto" w:fill="BFBFBF"/>
            <w:vAlign w:val="center"/>
          </w:tcPr>
          <w:p w14:paraId="0F04528A" w14:textId="77777777" w:rsidR="000A7EA3" w:rsidRPr="00EA49D6" w:rsidRDefault="000A7EA3" w:rsidP="00036F88">
            <w:pPr>
              <w:jc w:val="center"/>
              <w:rPr>
                <w:rFonts w:ascii="Times New Roman" w:eastAsia="Times New Roman" w:hAnsi="Times New Roman" w:cs="Times New Roman"/>
                <w:i/>
                <w:sz w:val="18"/>
                <w:szCs w:val="18"/>
                <w:lang w:val="en-US"/>
              </w:rPr>
            </w:pPr>
            <w:r w:rsidRPr="00EA49D6">
              <w:rPr>
                <w:rFonts w:ascii="Times New Roman" w:eastAsia="Times New Roman" w:hAnsi="Times New Roman" w:cs="Times New Roman"/>
                <w:i/>
                <w:sz w:val="18"/>
                <w:szCs w:val="18"/>
                <w:lang w:val="en-US"/>
              </w:rPr>
              <w:t>Notes</w:t>
            </w:r>
          </w:p>
        </w:tc>
      </w:tr>
      <w:tr w:rsidR="00260632" w:rsidRPr="00EA49D6" w14:paraId="3101C841" w14:textId="77777777" w:rsidTr="003675BD">
        <w:tc>
          <w:tcPr>
            <w:tcW w:w="540" w:type="dxa"/>
            <w:shd w:val="clear" w:color="auto" w:fill="92D050"/>
          </w:tcPr>
          <w:p w14:paraId="171C88DE" w14:textId="77777777" w:rsidR="000A7EA3" w:rsidRPr="00EA49D6" w:rsidRDefault="000A7EA3" w:rsidP="00036F88">
            <w:pPr>
              <w:rPr>
                <w:rFonts w:ascii="Times New Roman" w:eastAsia="Calibri" w:hAnsi="Times New Roman" w:cs="Times New Roman"/>
                <w:sz w:val="18"/>
                <w:szCs w:val="18"/>
                <w:lang w:val="en-US"/>
              </w:rPr>
            </w:pPr>
          </w:p>
        </w:tc>
        <w:tc>
          <w:tcPr>
            <w:tcW w:w="5400" w:type="dxa"/>
            <w:shd w:val="clear" w:color="auto" w:fill="92D050"/>
          </w:tcPr>
          <w:p w14:paraId="3CBB6E23" w14:textId="71A0F858" w:rsidR="000A7EA3" w:rsidRPr="00EA49D6" w:rsidRDefault="000A7EA3" w:rsidP="00036F88">
            <w:pPr>
              <w:pStyle w:val="Heading1"/>
              <w:rPr>
                <w:rFonts w:ascii="Times New Roman" w:eastAsia="Calibri" w:hAnsi="Times New Roman" w:cs="Times New Roman"/>
                <w:color w:val="auto"/>
                <w:sz w:val="18"/>
                <w:szCs w:val="18"/>
                <w:lang w:val="en-US"/>
              </w:rPr>
            </w:pPr>
          </w:p>
        </w:tc>
        <w:tc>
          <w:tcPr>
            <w:tcW w:w="540" w:type="dxa"/>
          </w:tcPr>
          <w:p w14:paraId="4950B37F" w14:textId="77777777" w:rsidR="000A7EA3" w:rsidRPr="00EA49D6" w:rsidRDefault="000A7EA3" w:rsidP="00036F88">
            <w:pPr>
              <w:rPr>
                <w:rFonts w:ascii="Times New Roman" w:eastAsia="Calibri" w:hAnsi="Times New Roman" w:cs="Times New Roman"/>
                <w:sz w:val="18"/>
                <w:szCs w:val="18"/>
              </w:rPr>
            </w:pPr>
          </w:p>
        </w:tc>
        <w:tc>
          <w:tcPr>
            <w:tcW w:w="554" w:type="dxa"/>
            <w:shd w:val="clear" w:color="auto" w:fill="92D050"/>
          </w:tcPr>
          <w:p w14:paraId="4039FF8E" w14:textId="633026E3" w:rsidR="000A7EA3" w:rsidRPr="00EA49D6" w:rsidRDefault="000A7EA3" w:rsidP="00036F88">
            <w:pPr>
              <w:rPr>
                <w:rFonts w:ascii="Times New Roman" w:eastAsia="Calibri" w:hAnsi="Times New Roman" w:cs="Times New Roman"/>
                <w:sz w:val="18"/>
                <w:szCs w:val="18"/>
                <w:lang w:val="en-US"/>
              </w:rPr>
            </w:pPr>
          </w:p>
        </w:tc>
        <w:tc>
          <w:tcPr>
            <w:tcW w:w="5040" w:type="dxa"/>
            <w:shd w:val="clear" w:color="auto" w:fill="92D050"/>
          </w:tcPr>
          <w:p w14:paraId="6FBBB339" w14:textId="77777777" w:rsidR="0077636B" w:rsidRPr="00EA49D6" w:rsidRDefault="0077636B" w:rsidP="00036F88">
            <w:pPr>
              <w:jc w:val="center"/>
              <w:rPr>
                <w:rFonts w:ascii="Times New Roman" w:hAnsi="Times New Roman" w:cs="Times New Roman"/>
                <w:sz w:val="18"/>
                <w:szCs w:val="18"/>
              </w:rPr>
            </w:pPr>
            <w:r w:rsidRPr="00EA49D6">
              <w:rPr>
                <w:rFonts w:ascii="Times New Roman" w:hAnsi="Times New Roman" w:cs="Times New Roman"/>
                <w:sz w:val="18"/>
                <w:szCs w:val="18"/>
              </w:rPr>
              <w:t>CHAPTER I</w:t>
            </w:r>
          </w:p>
          <w:p w14:paraId="0ED77E48" w14:textId="77777777" w:rsidR="0077636B" w:rsidRPr="00EA49D6" w:rsidRDefault="0077636B" w:rsidP="00036F88">
            <w:pPr>
              <w:jc w:val="center"/>
              <w:rPr>
                <w:rFonts w:ascii="Times New Roman" w:hAnsi="Times New Roman" w:cs="Times New Roman"/>
                <w:sz w:val="18"/>
                <w:szCs w:val="18"/>
              </w:rPr>
            </w:pPr>
            <w:r w:rsidRPr="00EA49D6">
              <w:rPr>
                <w:rFonts w:ascii="Times New Roman" w:hAnsi="Times New Roman" w:cs="Times New Roman"/>
                <w:sz w:val="18"/>
                <w:szCs w:val="18"/>
              </w:rPr>
              <w:t>GENERAL PROVISIONS</w:t>
            </w:r>
          </w:p>
          <w:p w14:paraId="0C0DB225" w14:textId="77777777" w:rsidR="000A7EA3" w:rsidRPr="00EA49D6" w:rsidRDefault="000A7EA3" w:rsidP="00036F88">
            <w:pPr>
              <w:rPr>
                <w:rFonts w:ascii="Times New Roman" w:eastAsia="Calibri" w:hAnsi="Times New Roman" w:cs="Times New Roman"/>
                <w:sz w:val="18"/>
                <w:szCs w:val="18"/>
                <w:lang w:val="en-US"/>
              </w:rPr>
            </w:pPr>
          </w:p>
        </w:tc>
        <w:tc>
          <w:tcPr>
            <w:tcW w:w="720" w:type="dxa"/>
            <w:shd w:val="clear" w:color="auto" w:fill="92D050"/>
          </w:tcPr>
          <w:p w14:paraId="0477FAD4" w14:textId="77777777" w:rsidR="000A7EA3" w:rsidRPr="00EA49D6" w:rsidRDefault="000A7EA3" w:rsidP="00036F88">
            <w:pPr>
              <w:rPr>
                <w:rFonts w:ascii="Times New Roman" w:eastAsia="Calibri" w:hAnsi="Times New Roman" w:cs="Times New Roman"/>
                <w:sz w:val="18"/>
                <w:szCs w:val="18"/>
                <w:lang w:val="en-US"/>
              </w:rPr>
            </w:pPr>
          </w:p>
        </w:tc>
        <w:tc>
          <w:tcPr>
            <w:tcW w:w="3406" w:type="dxa"/>
            <w:shd w:val="clear" w:color="auto" w:fill="92D050"/>
          </w:tcPr>
          <w:p w14:paraId="09DE5223" w14:textId="77777777" w:rsidR="000A7EA3" w:rsidRPr="00EA49D6" w:rsidRDefault="000A7EA3" w:rsidP="00036F88">
            <w:pPr>
              <w:rPr>
                <w:rFonts w:ascii="Times New Roman" w:eastAsia="Calibri" w:hAnsi="Times New Roman" w:cs="Times New Roman"/>
                <w:sz w:val="18"/>
                <w:szCs w:val="18"/>
                <w:lang w:val="en-US"/>
              </w:rPr>
            </w:pPr>
          </w:p>
        </w:tc>
      </w:tr>
      <w:tr w:rsidR="00260632" w:rsidRPr="00EA49D6" w14:paraId="6560FCB0" w14:textId="77777777" w:rsidTr="003675BD">
        <w:tc>
          <w:tcPr>
            <w:tcW w:w="540" w:type="dxa"/>
            <w:shd w:val="clear" w:color="auto" w:fill="F2F2F2"/>
          </w:tcPr>
          <w:p w14:paraId="2C6C40A7" w14:textId="77777777" w:rsidR="000A7EA3" w:rsidRPr="00EA49D6" w:rsidRDefault="000A7EA3" w:rsidP="00036F88">
            <w:pPr>
              <w:jc w:val="center"/>
              <w:rPr>
                <w:rFonts w:ascii="Times New Roman" w:eastAsia="Calibri" w:hAnsi="Times New Roman" w:cs="Times New Roman"/>
                <w:i/>
                <w:iCs/>
                <w:sz w:val="18"/>
                <w:szCs w:val="18"/>
                <w:lang w:val="en-US"/>
              </w:rPr>
            </w:pPr>
          </w:p>
        </w:tc>
        <w:tc>
          <w:tcPr>
            <w:tcW w:w="5400" w:type="dxa"/>
            <w:shd w:val="clear" w:color="auto" w:fill="F2F2F2"/>
          </w:tcPr>
          <w:p w14:paraId="125E8E32" w14:textId="77777777" w:rsidR="00462F38" w:rsidRPr="00EA49D6" w:rsidRDefault="00462F38" w:rsidP="00462F38">
            <w:pPr>
              <w:jc w:val="center"/>
              <w:rPr>
                <w:rFonts w:ascii="Times New Roman" w:hAnsi="Times New Roman" w:cs="Times New Roman"/>
                <w:sz w:val="18"/>
                <w:szCs w:val="18"/>
              </w:rPr>
            </w:pPr>
            <w:bookmarkStart w:id="0" w:name="articolul1"/>
            <w:bookmarkEnd w:id="0"/>
            <w:r w:rsidRPr="00EA49D6">
              <w:rPr>
                <w:rFonts w:ascii="Times New Roman" w:hAnsi="Times New Roman" w:cs="Times New Roman"/>
                <w:sz w:val="18"/>
                <w:szCs w:val="18"/>
              </w:rPr>
              <w:t>Article 1</w:t>
            </w:r>
          </w:p>
          <w:p w14:paraId="153D8D38" w14:textId="77777777" w:rsidR="00462F38" w:rsidRPr="00EA49D6" w:rsidRDefault="00462F38" w:rsidP="00462F38">
            <w:pPr>
              <w:rPr>
                <w:rFonts w:ascii="Times New Roman" w:hAnsi="Times New Roman" w:cs="Times New Roman"/>
                <w:sz w:val="18"/>
                <w:szCs w:val="18"/>
              </w:rPr>
            </w:pPr>
          </w:p>
          <w:p w14:paraId="1C29E68A" w14:textId="0E7E1021" w:rsidR="00462F38" w:rsidRPr="00EA49D6" w:rsidRDefault="00462F38" w:rsidP="00462F38">
            <w:pPr>
              <w:rPr>
                <w:rFonts w:ascii="Times New Roman" w:hAnsi="Times New Roman" w:cs="Times New Roman"/>
                <w:sz w:val="18"/>
                <w:szCs w:val="18"/>
              </w:rPr>
            </w:pPr>
            <w:r w:rsidRPr="00EA49D6">
              <w:rPr>
                <w:rFonts w:ascii="Times New Roman" w:hAnsi="Times New Roman" w:cs="Times New Roman"/>
                <w:sz w:val="18"/>
                <w:szCs w:val="18"/>
              </w:rPr>
              <w:t>Directive 2011/16/EU is amended as follows:</w:t>
            </w:r>
          </w:p>
          <w:p w14:paraId="4FF914BE" w14:textId="7A1302B7" w:rsidR="00990A3C" w:rsidRPr="00EA49D6" w:rsidRDefault="00990A3C" w:rsidP="00990A3C">
            <w:pPr>
              <w:rPr>
                <w:rFonts w:ascii="Times New Roman" w:hAnsi="Times New Roman" w:cs="Times New Roman"/>
                <w:sz w:val="18"/>
                <w:szCs w:val="18"/>
              </w:rPr>
            </w:pPr>
          </w:p>
        </w:tc>
        <w:tc>
          <w:tcPr>
            <w:tcW w:w="540" w:type="dxa"/>
          </w:tcPr>
          <w:p w14:paraId="63FB219E" w14:textId="77777777" w:rsidR="000A7EA3" w:rsidRPr="00EA49D6" w:rsidRDefault="000A7EA3" w:rsidP="00036F88">
            <w:pPr>
              <w:rPr>
                <w:rFonts w:ascii="Times New Roman" w:eastAsia="Calibri" w:hAnsi="Times New Roman" w:cs="Times New Roman"/>
                <w:sz w:val="18"/>
                <w:szCs w:val="18"/>
              </w:rPr>
            </w:pPr>
          </w:p>
        </w:tc>
        <w:tc>
          <w:tcPr>
            <w:tcW w:w="554" w:type="dxa"/>
            <w:shd w:val="clear" w:color="auto" w:fill="F2F2F2"/>
          </w:tcPr>
          <w:p w14:paraId="373E1C1C" w14:textId="3802F198" w:rsidR="000A7EA3" w:rsidRPr="00EA49D6" w:rsidRDefault="000A7EA3" w:rsidP="00036F88">
            <w:pPr>
              <w:rPr>
                <w:rFonts w:ascii="Times New Roman" w:eastAsia="Calibri" w:hAnsi="Times New Roman" w:cs="Times New Roman"/>
                <w:sz w:val="18"/>
                <w:szCs w:val="18"/>
                <w:lang w:val="en-US"/>
              </w:rPr>
            </w:pPr>
          </w:p>
        </w:tc>
        <w:tc>
          <w:tcPr>
            <w:tcW w:w="5040" w:type="dxa"/>
            <w:shd w:val="clear" w:color="auto" w:fill="F2F2F2"/>
          </w:tcPr>
          <w:p w14:paraId="64C93E4E" w14:textId="449C89EF" w:rsidR="000A7EA3" w:rsidRPr="00EA49D6" w:rsidRDefault="000A7EA3" w:rsidP="00036F88">
            <w:pPr>
              <w:rPr>
                <w:rFonts w:ascii="Times New Roman" w:hAnsi="Times New Roman" w:cs="Times New Roman"/>
                <w:sz w:val="18"/>
                <w:szCs w:val="18"/>
              </w:rPr>
            </w:pPr>
          </w:p>
        </w:tc>
        <w:tc>
          <w:tcPr>
            <w:tcW w:w="720" w:type="dxa"/>
            <w:shd w:val="clear" w:color="auto" w:fill="F2F2F2"/>
          </w:tcPr>
          <w:p w14:paraId="176811E7" w14:textId="77777777" w:rsidR="000A7EA3" w:rsidRPr="00EA49D6" w:rsidRDefault="000A7EA3" w:rsidP="00036F88">
            <w:pPr>
              <w:jc w:val="center"/>
              <w:rPr>
                <w:rFonts w:ascii="Times New Roman" w:eastAsia="Calibri" w:hAnsi="Times New Roman" w:cs="Times New Roman"/>
                <w:sz w:val="18"/>
                <w:szCs w:val="18"/>
                <w:lang w:val="en-US"/>
              </w:rPr>
            </w:pPr>
          </w:p>
        </w:tc>
        <w:tc>
          <w:tcPr>
            <w:tcW w:w="3406" w:type="dxa"/>
            <w:shd w:val="clear" w:color="auto" w:fill="F2F2F2"/>
          </w:tcPr>
          <w:p w14:paraId="0E837D0C" w14:textId="77777777" w:rsidR="000A7EA3" w:rsidRPr="00EA49D6" w:rsidRDefault="000A7EA3" w:rsidP="00036F88">
            <w:pPr>
              <w:rPr>
                <w:rFonts w:ascii="Times New Roman" w:eastAsia="Calibri" w:hAnsi="Times New Roman" w:cs="Times New Roman"/>
                <w:sz w:val="18"/>
                <w:szCs w:val="18"/>
                <w:lang w:val="en-US"/>
              </w:rPr>
            </w:pPr>
          </w:p>
        </w:tc>
      </w:tr>
      <w:tr w:rsidR="00260632" w:rsidRPr="00EA49D6" w14:paraId="7F6FBBB8" w14:textId="77777777" w:rsidTr="003675BD">
        <w:trPr>
          <w:trHeight w:val="1520"/>
        </w:trPr>
        <w:tc>
          <w:tcPr>
            <w:tcW w:w="540" w:type="dxa"/>
          </w:tcPr>
          <w:p w14:paraId="54CAE924" w14:textId="77777777" w:rsidR="000A7EA3" w:rsidRPr="00EA49D6" w:rsidRDefault="000A7EA3" w:rsidP="00036F88">
            <w:pPr>
              <w:jc w:val="both"/>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1</w:t>
            </w:r>
          </w:p>
        </w:tc>
        <w:tc>
          <w:tcPr>
            <w:tcW w:w="5400" w:type="dxa"/>
          </w:tcPr>
          <w:p w14:paraId="23C69800" w14:textId="77777777" w:rsidR="00266B43" w:rsidRPr="00EA49D6" w:rsidRDefault="00266B43" w:rsidP="00266B43">
            <w:pPr>
              <w:jc w:val="both"/>
              <w:rPr>
                <w:rFonts w:ascii="Times New Roman" w:eastAsia="Calibri" w:hAnsi="Times New Roman" w:cs="Times New Roman"/>
                <w:iCs/>
                <w:sz w:val="18"/>
                <w:szCs w:val="18"/>
                <w:lang w:val="en-US"/>
              </w:rPr>
            </w:pPr>
          </w:p>
          <w:p w14:paraId="3CCDA7F9" w14:textId="211494F7" w:rsidR="00266B43" w:rsidRPr="00EA49D6" w:rsidRDefault="00266B43" w:rsidP="00266B43">
            <w:pPr>
              <w:pStyle w:val="ListParagraph"/>
              <w:numPr>
                <w:ilvl w:val="0"/>
                <w:numId w:val="36"/>
              </w:numPr>
              <w:spacing w:after="0" w:line="240" w:lineRule="auto"/>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Article 3 is amended as follows:</w:t>
            </w:r>
          </w:p>
          <w:p w14:paraId="38B1DE97" w14:textId="77777777" w:rsidR="00266B43" w:rsidRPr="00EA49D6" w:rsidRDefault="00266B43" w:rsidP="00266B43">
            <w:pPr>
              <w:jc w:val="both"/>
              <w:rPr>
                <w:rFonts w:ascii="Times New Roman" w:eastAsia="Calibri" w:hAnsi="Times New Roman" w:cs="Times New Roman"/>
                <w:iCs/>
                <w:sz w:val="18"/>
                <w:szCs w:val="18"/>
                <w:lang w:val="en-US"/>
              </w:rPr>
            </w:pPr>
          </w:p>
          <w:p w14:paraId="56E49F3A" w14:textId="1C6DEB14" w:rsidR="00266B43" w:rsidRPr="00EA49D6" w:rsidRDefault="00266B43" w:rsidP="00266B43">
            <w:pPr>
              <w:pStyle w:val="ListParagraph"/>
              <w:numPr>
                <w:ilvl w:val="0"/>
                <w:numId w:val="35"/>
              </w:numPr>
              <w:spacing w:after="0" w:line="240" w:lineRule="auto"/>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Point 9 is replaced by the following:</w:t>
            </w:r>
          </w:p>
          <w:p w14:paraId="1BBD5781" w14:textId="77777777" w:rsidR="00266B43" w:rsidRPr="00EA49D6" w:rsidRDefault="00266B43" w:rsidP="00266B43">
            <w:pPr>
              <w:jc w:val="both"/>
              <w:rPr>
                <w:rFonts w:ascii="Times New Roman" w:eastAsia="Calibri" w:hAnsi="Times New Roman" w:cs="Times New Roman"/>
                <w:iCs/>
                <w:sz w:val="18"/>
                <w:szCs w:val="18"/>
                <w:lang w:val="en-US"/>
              </w:rPr>
            </w:pPr>
          </w:p>
          <w:p w14:paraId="0EF0E31C" w14:textId="028AC5E0" w:rsidR="00266B43" w:rsidRPr="00EA49D6" w:rsidRDefault="00266B43" w:rsidP="00266B43">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t>'9. "automatic exchange" means,</w:t>
            </w:r>
          </w:p>
          <w:p w14:paraId="610A07C5" w14:textId="6B6A6DB4" w:rsidR="00266B43" w:rsidRPr="00EA49D6" w:rsidRDefault="00266B43" w:rsidP="00266B43">
            <w:pPr>
              <w:pStyle w:val="ListParagraph"/>
              <w:numPr>
                <w:ilvl w:val="0"/>
                <w:numId w:val="34"/>
              </w:numPr>
              <w:spacing w:after="0" w:line="240" w:lineRule="auto"/>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 xml:space="preserve">for the purposes of Article 8(1) and Article 8a, the systematic communication of predefined information to another Member State, without prior request, at pre-established regular intervals. For the purposes of Article 8(1), reference to available information relates to information in the tax files of the Member State communicating the information, which is </w:t>
            </w:r>
            <w:r w:rsidRPr="00EA49D6">
              <w:rPr>
                <w:rFonts w:ascii="Times New Roman" w:eastAsia="Calibri" w:hAnsi="Times New Roman" w:cs="Times New Roman"/>
                <w:iCs/>
                <w:sz w:val="18"/>
                <w:szCs w:val="18"/>
              </w:rPr>
              <w:lastRenderedPageBreak/>
              <w:t>retrievable in accordance with the procedures for gathering and processing information in that Member State;</w:t>
            </w:r>
          </w:p>
          <w:p w14:paraId="58D8EEAD" w14:textId="77777777" w:rsidR="00266B43" w:rsidRPr="00EA49D6" w:rsidRDefault="00266B43" w:rsidP="00266B43">
            <w:pPr>
              <w:jc w:val="both"/>
              <w:rPr>
                <w:rFonts w:ascii="Times New Roman" w:eastAsia="Calibri" w:hAnsi="Times New Roman" w:cs="Times New Roman"/>
                <w:iCs/>
                <w:sz w:val="18"/>
                <w:szCs w:val="18"/>
                <w:lang w:val="en-US"/>
              </w:rPr>
            </w:pPr>
          </w:p>
          <w:p w14:paraId="5940EB30" w14:textId="5DFBF52C" w:rsidR="00266B43" w:rsidRPr="00EA49D6" w:rsidRDefault="00266B43" w:rsidP="00266B43">
            <w:pPr>
              <w:pStyle w:val="ListParagraph"/>
              <w:numPr>
                <w:ilvl w:val="0"/>
                <w:numId w:val="34"/>
              </w:numPr>
              <w:spacing w:after="0" w:line="240" w:lineRule="auto"/>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for the purposes of Article 8(3a), the systematic communication of predefined information on residents in other Member States to the relevant Member State of residence, without prior request, at pre-established regular intervals. In the context of Article 8(3a), Article 8(7a), Article 21(2) and Article 25(2) and (3) any capitalized term shall have the meaning that it has under the corresponding definitions set out in Annex I;</w:t>
            </w:r>
          </w:p>
          <w:p w14:paraId="2A8B79A3" w14:textId="77777777" w:rsidR="00266B43" w:rsidRPr="00EA49D6" w:rsidRDefault="00266B43" w:rsidP="00266B43">
            <w:pPr>
              <w:jc w:val="both"/>
              <w:rPr>
                <w:rFonts w:ascii="Times New Roman" w:eastAsia="Calibri" w:hAnsi="Times New Roman" w:cs="Times New Roman"/>
                <w:iCs/>
                <w:sz w:val="18"/>
                <w:szCs w:val="18"/>
                <w:lang w:val="en-US"/>
              </w:rPr>
            </w:pPr>
          </w:p>
          <w:p w14:paraId="075EF7ED" w14:textId="5F1ADB62" w:rsidR="000A7EA3" w:rsidRPr="00EA49D6" w:rsidRDefault="00266B43" w:rsidP="00266B43">
            <w:pPr>
              <w:pStyle w:val="ListParagraph"/>
              <w:numPr>
                <w:ilvl w:val="0"/>
                <w:numId w:val="34"/>
              </w:numPr>
              <w:spacing w:after="0" w:line="240" w:lineRule="auto"/>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for the purposes of all provisions of this Directive other than Articles 8(1), 8(3a) and 8a, the systematic communication of predefined information provided in accordance with points (a) and (b) of this point;'.</w:t>
            </w:r>
          </w:p>
        </w:tc>
        <w:tc>
          <w:tcPr>
            <w:tcW w:w="540" w:type="dxa"/>
          </w:tcPr>
          <w:p w14:paraId="6D951FCC" w14:textId="7B0A04B6" w:rsidR="000A7EA3" w:rsidRPr="00EA49D6" w:rsidRDefault="000A7EA3" w:rsidP="00036F88">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lastRenderedPageBreak/>
              <w:t>1</w:t>
            </w:r>
          </w:p>
        </w:tc>
        <w:tc>
          <w:tcPr>
            <w:tcW w:w="554" w:type="dxa"/>
          </w:tcPr>
          <w:p w14:paraId="7B749314" w14:textId="6B933560" w:rsidR="000A7EA3" w:rsidRPr="00EA49D6" w:rsidRDefault="00EC4617" w:rsidP="00036F88">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N/A</w:t>
            </w:r>
          </w:p>
        </w:tc>
        <w:tc>
          <w:tcPr>
            <w:tcW w:w="5040" w:type="dxa"/>
          </w:tcPr>
          <w:p w14:paraId="3D793E70" w14:textId="77777777" w:rsidR="00FD7583" w:rsidRPr="00EA49D6" w:rsidRDefault="00FD7583" w:rsidP="00FD7583">
            <w:pPr>
              <w:jc w:val="center"/>
              <w:rPr>
                <w:rFonts w:ascii="Times New Roman" w:eastAsia="Calibri" w:hAnsi="Times New Roman" w:cs="Times New Roman"/>
                <w:sz w:val="18"/>
                <w:szCs w:val="18"/>
              </w:rPr>
            </w:pPr>
          </w:p>
          <w:p w14:paraId="7D2CEC06" w14:textId="609C14C8" w:rsidR="000A7EA3" w:rsidRPr="00EA49D6" w:rsidRDefault="009E0C89" w:rsidP="00FD7583">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N/A</w:t>
            </w:r>
          </w:p>
        </w:tc>
        <w:tc>
          <w:tcPr>
            <w:tcW w:w="720" w:type="dxa"/>
          </w:tcPr>
          <w:p w14:paraId="3F6791D3" w14:textId="1D2C47A1" w:rsidR="000A7EA3" w:rsidRPr="00EA49D6" w:rsidRDefault="00EC4617" w:rsidP="00036F88">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N/A</w:t>
            </w:r>
          </w:p>
        </w:tc>
        <w:tc>
          <w:tcPr>
            <w:tcW w:w="3406" w:type="dxa"/>
          </w:tcPr>
          <w:p w14:paraId="03521802" w14:textId="14FA80F2" w:rsidR="000A7EA3" w:rsidRPr="00EA49D6" w:rsidRDefault="00B13469" w:rsidP="00036F88">
            <w:pP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This constitutes an amendment to the definition of ‘automatic exchange of information’, as stipulated in the general DAC, Article 2, paragraph 12.</w:t>
            </w:r>
          </w:p>
        </w:tc>
      </w:tr>
      <w:tr w:rsidR="003C045B" w:rsidRPr="00EA49D6" w14:paraId="6F796DB6" w14:textId="77777777" w:rsidTr="003675BD">
        <w:trPr>
          <w:trHeight w:val="278"/>
        </w:trPr>
        <w:tc>
          <w:tcPr>
            <w:tcW w:w="540" w:type="dxa"/>
            <w:shd w:val="clear" w:color="auto" w:fill="F2F2F2"/>
          </w:tcPr>
          <w:p w14:paraId="78A89E6F" w14:textId="77777777" w:rsidR="003C045B" w:rsidRPr="00EA49D6" w:rsidRDefault="003C045B" w:rsidP="003C045B">
            <w:pPr>
              <w:jc w:val="center"/>
              <w:rPr>
                <w:rFonts w:ascii="Times New Roman" w:eastAsia="Calibri" w:hAnsi="Times New Roman" w:cs="Times New Roman"/>
                <w:i/>
                <w:sz w:val="18"/>
                <w:szCs w:val="18"/>
              </w:rPr>
            </w:pPr>
          </w:p>
        </w:tc>
        <w:tc>
          <w:tcPr>
            <w:tcW w:w="5400" w:type="dxa"/>
            <w:shd w:val="clear" w:color="auto" w:fill="F2F2F2"/>
          </w:tcPr>
          <w:p w14:paraId="4B03CEB1" w14:textId="04B7687C"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14.</w:t>
            </w:r>
          </w:p>
          <w:p w14:paraId="6C1D32B1" w14:textId="77777777"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'advance cross-border ruling' means any agreement, communication, or any other instrument or action with similar effects, including one issued, amended or renewed in the context of a tax audit, and which meets the following conditions:</w:t>
            </w:r>
          </w:p>
          <w:p w14:paraId="372E9AB3" w14:textId="77777777" w:rsidR="00534507" w:rsidRPr="00EA49D6" w:rsidRDefault="00534507" w:rsidP="00A235BE">
            <w:pPr>
              <w:jc w:val="both"/>
              <w:rPr>
                <w:rFonts w:ascii="Times New Roman" w:hAnsi="Times New Roman" w:cs="Times New Roman"/>
                <w:sz w:val="18"/>
                <w:szCs w:val="18"/>
              </w:rPr>
            </w:pPr>
          </w:p>
          <w:p w14:paraId="11F19C2C" w14:textId="77777777"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(a)</w:t>
            </w:r>
          </w:p>
          <w:p w14:paraId="7D0100F9" w14:textId="77777777"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is issued, amended or renewed by, or on behalf of, the government or the tax authority of a Member State, or the Member State's territorial or administrative subdivisions, including local authorities, regardless of whether it is effectively used;</w:t>
            </w:r>
          </w:p>
          <w:p w14:paraId="2A8F4B1E" w14:textId="77777777" w:rsidR="00534507" w:rsidRPr="00EA49D6" w:rsidRDefault="00534507" w:rsidP="00A235BE">
            <w:pPr>
              <w:jc w:val="both"/>
              <w:rPr>
                <w:rFonts w:ascii="Times New Roman" w:hAnsi="Times New Roman" w:cs="Times New Roman"/>
                <w:sz w:val="18"/>
                <w:szCs w:val="18"/>
              </w:rPr>
            </w:pPr>
          </w:p>
          <w:p w14:paraId="56417EB6" w14:textId="77777777"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(b)</w:t>
            </w:r>
          </w:p>
          <w:p w14:paraId="29A6EA87" w14:textId="77777777"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is issued, amended or renewed, to a particular person or a group of persons, and upon which that person or a group of persons is entitled to rely;</w:t>
            </w:r>
          </w:p>
          <w:p w14:paraId="038011CA" w14:textId="77777777" w:rsidR="00534507" w:rsidRPr="00EA49D6" w:rsidRDefault="00534507" w:rsidP="00A235BE">
            <w:pPr>
              <w:jc w:val="both"/>
              <w:rPr>
                <w:rFonts w:ascii="Times New Roman" w:hAnsi="Times New Roman" w:cs="Times New Roman"/>
                <w:sz w:val="18"/>
                <w:szCs w:val="18"/>
              </w:rPr>
            </w:pPr>
          </w:p>
          <w:p w14:paraId="63373691" w14:textId="77777777"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(c)</w:t>
            </w:r>
          </w:p>
          <w:p w14:paraId="58353DC1" w14:textId="35BFB86C"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 xml:space="preserve">concerns the interpretation or application of a legal or administrative provision concerning the administration or enforcement of national laws relating to </w:t>
            </w:r>
            <w:r w:rsidR="00D732B4" w:rsidRPr="00EA49D6">
              <w:rPr>
                <w:rFonts w:ascii="Times New Roman" w:hAnsi="Times New Roman" w:cs="Times New Roman"/>
                <w:sz w:val="18"/>
                <w:szCs w:val="18"/>
              </w:rPr>
              <w:t>Taxation</w:t>
            </w:r>
            <w:r w:rsidRPr="00EA49D6">
              <w:rPr>
                <w:rFonts w:ascii="Times New Roman" w:hAnsi="Times New Roman" w:cs="Times New Roman"/>
                <w:sz w:val="18"/>
                <w:szCs w:val="18"/>
              </w:rPr>
              <w:t xml:space="preserve"> of the Member State, or the Member State's territorial or administrative subdivisions, including local authorities;</w:t>
            </w:r>
          </w:p>
          <w:p w14:paraId="3FA2B61D" w14:textId="3662C0EC" w:rsidR="00534507" w:rsidRPr="00EA49D6" w:rsidRDefault="00534507" w:rsidP="00A235BE">
            <w:pPr>
              <w:jc w:val="both"/>
              <w:rPr>
                <w:rFonts w:ascii="Times New Roman" w:hAnsi="Times New Roman" w:cs="Times New Roman"/>
                <w:sz w:val="18"/>
                <w:szCs w:val="18"/>
              </w:rPr>
            </w:pPr>
          </w:p>
          <w:p w14:paraId="60315697" w14:textId="77777777" w:rsidR="00534507" w:rsidRPr="00EA49D6" w:rsidRDefault="00534507" w:rsidP="00A235BE">
            <w:pPr>
              <w:jc w:val="both"/>
              <w:rPr>
                <w:rFonts w:ascii="Times New Roman" w:hAnsi="Times New Roman" w:cs="Times New Roman"/>
                <w:sz w:val="18"/>
                <w:szCs w:val="18"/>
              </w:rPr>
            </w:pPr>
          </w:p>
          <w:p w14:paraId="5FD3D9D0" w14:textId="77777777"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(d)</w:t>
            </w:r>
          </w:p>
          <w:p w14:paraId="5D57DD2C" w14:textId="77777777"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relates to a cross-border transaction, or to the question of whether or not activities carried on by a person in another jurisdiction create a permanent establishment or to the question of whether or not a natural person is resident for tax purposes in the Member State issuing the ruling; and</w:t>
            </w:r>
          </w:p>
          <w:p w14:paraId="621360B3" w14:textId="388D6978" w:rsidR="00534507" w:rsidRPr="00EA49D6" w:rsidRDefault="00534507" w:rsidP="00A235BE">
            <w:pPr>
              <w:jc w:val="both"/>
              <w:rPr>
                <w:rFonts w:ascii="Times New Roman" w:hAnsi="Times New Roman" w:cs="Times New Roman"/>
                <w:sz w:val="18"/>
                <w:szCs w:val="18"/>
              </w:rPr>
            </w:pPr>
          </w:p>
          <w:p w14:paraId="1C718F1E" w14:textId="77777777" w:rsidR="00534507" w:rsidRPr="00EA49D6" w:rsidRDefault="00534507" w:rsidP="00A235BE">
            <w:pPr>
              <w:jc w:val="both"/>
              <w:rPr>
                <w:rFonts w:ascii="Times New Roman" w:hAnsi="Times New Roman" w:cs="Times New Roman"/>
                <w:sz w:val="18"/>
                <w:szCs w:val="18"/>
              </w:rPr>
            </w:pPr>
          </w:p>
          <w:p w14:paraId="4B8C2E71" w14:textId="77777777"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(of)</w:t>
            </w:r>
          </w:p>
          <w:p w14:paraId="5BDE75E6" w14:textId="77777777" w:rsidR="00534507"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is made in advance of the transactions or of the activities in another jurisdiction potentially creating a permanent establishment or in advance of the filing of a tax return covering the period in which the transaction or series of transactions or activities took place.</w:t>
            </w:r>
          </w:p>
          <w:p w14:paraId="005DD206" w14:textId="77777777" w:rsidR="00534507" w:rsidRPr="00EA49D6" w:rsidRDefault="00534507" w:rsidP="00A235BE">
            <w:pPr>
              <w:jc w:val="both"/>
              <w:rPr>
                <w:rFonts w:ascii="Times New Roman" w:hAnsi="Times New Roman" w:cs="Times New Roman"/>
                <w:sz w:val="18"/>
                <w:szCs w:val="18"/>
              </w:rPr>
            </w:pPr>
          </w:p>
          <w:p w14:paraId="77D30394" w14:textId="2A4EDF03" w:rsidR="003C045B" w:rsidRPr="00EA49D6" w:rsidRDefault="00534507" w:rsidP="00A235BE">
            <w:pPr>
              <w:jc w:val="both"/>
              <w:rPr>
                <w:rFonts w:ascii="Times New Roman" w:hAnsi="Times New Roman" w:cs="Times New Roman"/>
                <w:sz w:val="18"/>
                <w:szCs w:val="18"/>
              </w:rPr>
            </w:pPr>
            <w:r w:rsidRPr="00EA49D6">
              <w:rPr>
                <w:rFonts w:ascii="Times New Roman" w:hAnsi="Times New Roman" w:cs="Times New Roman"/>
                <w:sz w:val="18"/>
                <w:szCs w:val="18"/>
              </w:rPr>
              <w:t>The cross-border transaction may involve, but is not restricted to, the making of investments, the provision of goods, services, finance or the use of tangible or intangible assets and does not have to directly involve the person receiving the advance cross-border ruling;</w:t>
            </w:r>
          </w:p>
        </w:tc>
        <w:tc>
          <w:tcPr>
            <w:tcW w:w="540" w:type="dxa"/>
          </w:tcPr>
          <w:p w14:paraId="753D3D53" w14:textId="77777777" w:rsidR="003C045B" w:rsidRPr="00EA49D6" w:rsidRDefault="003C045B" w:rsidP="003C045B">
            <w:pPr>
              <w:jc w:val="center"/>
              <w:rPr>
                <w:rFonts w:ascii="Times New Roman" w:eastAsia="Calibri" w:hAnsi="Times New Roman" w:cs="Times New Roman"/>
                <w:i/>
                <w:sz w:val="18"/>
                <w:szCs w:val="18"/>
              </w:rPr>
            </w:pPr>
          </w:p>
        </w:tc>
        <w:tc>
          <w:tcPr>
            <w:tcW w:w="554" w:type="dxa"/>
            <w:shd w:val="clear" w:color="auto" w:fill="F2F2F2"/>
          </w:tcPr>
          <w:p w14:paraId="45F48BD2" w14:textId="77777777" w:rsidR="0054653E" w:rsidRPr="00EA49D6" w:rsidRDefault="0054653E" w:rsidP="003C045B">
            <w:pPr>
              <w:jc w:val="center"/>
              <w:rPr>
                <w:rFonts w:ascii="Times New Roman" w:eastAsia="Calibri" w:hAnsi="Times New Roman" w:cs="Times New Roman"/>
                <w:sz w:val="18"/>
                <w:szCs w:val="18"/>
              </w:rPr>
            </w:pPr>
          </w:p>
          <w:p w14:paraId="49667D08" w14:textId="7684210B" w:rsidR="003C045B" w:rsidRPr="00EA49D6" w:rsidRDefault="00EC4617"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Article 2</w:t>
            </w:r>
          </w:p>
        </w:tc>
        <w:tc>
          <w:tcPr>
            <w:tcW w:w="5040" w:type="dxa"/>
            <w:shd w:val="clear" w:color="auto" w:fill="F2F2F2"/>
          </w:tcPr>
          <w:p w14:paraId="5AEAB63D" w14:textId="77777777" w:rsidR="00C428C9" w:rsidRPr="00EA49D6" w:rsidRDefault="00C428C9" w:rsidP="00C428C9">
            <w:pPr>
              <w:jc w:val="both"/>
              <w:rPr>
                <w:rFonts w:ascii="Times New Roman" w:hAnsi="Times New Roman" w:cs="Times New Roman"/>
                <w:sz w:val="18"/>
                <w:szCs w:val="18"/>
              </w:rPr>
            </w:pPr>
          </w:p>
          <w:p w14:paraId="2DE8B532" w14:textId="77777777" w:rsidR="00C428C9" w:rsidRPr="00EA49D6" w:rsidRDefault="00C428C9" w:rsidP="00C428C9">
            <w:pPr>
              <w:jc w:val="both"/>
              <w:rPr>
                <w:rFonts w:ascii="Times New Roman" w:hAnsi="Times New Roman" w:cs="Times New Roman"/>
                <w:sz w:val="18"/>
                <w:szCs w:val="18"/>
              </w:rPr>
            </w:pPr>
          </w:p>
          <w:p w14:paraId="28EE503C" w14:textId="33CB5B11" w:rsidR="00C428C9" w:rsidRPr="00EA49D6" w:rsidRDefault="00C428C9" w:rsidP="00A235BE">
            <w:pPr>
              <w:jc w:val="center"/>
              <w:rPr>
                <w:rFonts w:ascii="Times New Roman" w:hAnsi="Times New Roman" w:cs="Times New Roman"/>
                <w:b/>
                <w:sz w:val="18"/>
                <w:szCs w:val="18"/>
              </w:rPr>
            </w:pPr>
            <w:r w:rsidRPr="00EA49D6">
              <w:rPr>
                <w:rFonts w:ascii="Times New Roman" w:hAnsi="Times New Roman" w:cs="Times New Roman"/>
                <w:b/>
                <w:sz w:val="18"/>
                <w:szCs w:val="18"/>
              </w:rPr>
              <w:t>Article 2</w:t>
            </w:r>
          </w:p>
          <w:p w14:paraId="665FFEEC" w14:textId="5988E816" w:rsidR="00C428C9" w:rsidRPr="00EA49D6" w:rsidRDefault="00C428C9" w:rsidP="00C428C9">
            <w:pPr>
              <w:jc w:val="center"/>
              <w:rPr>
                <w:rFonts w:ascii="Times New Roman" w:hAnsi="Times New Roman" w:cs="Times New Roman"/>
                <w:b/>
                <w:sz w:val="18"/>
                <w:szCs w:val="18"/>
              </w:rPr>
            </w:pPr>
            <w:r w:rsidRPr="00EA49D6">
              <w:rPr>
                <w:rFonts w:ascii="Times New Roman" w:hAnsi="Times New Roman" w:cs="Times New Roman"/>
                <w:b/>
                <w:sz w:val="18"/>
                <w:szCs w:val="18"/>
              </w:rPr>
              <w:t>Definitions</w:t>
            </w:r>
          </w:p>
          <w:p w14:paraId="5362FA6F" w14:textId="6D7AA21A" w:rsidR="00C428C9" w:rsidRPr="00EA49D6" w:rsidRDefault="00C428C9" w:rsidP="00C428C9">
            <w:pPr>
              <w:jc w:val="both"/>
              <w:rPr>
                <w:rFonts w:ascii="Times New Roman" w:hAnsi="Times New Roman" w:cs="Times New Roman"/>
                <w:sz w:val="18"/>
                <w:szCs w:val="18"/>
              </w:rPr>
            </w:pPr>
            <w:r w:rsidRPr="00EA49D6">
              <w:rPr>
                <w:rFonts w:ascii="Times New Roman" w:hAnsi="Times New Roman" w:cs="Times New Roman"/>
                <w:sz w:val="18"/>
                <w:szCs w:val="18"/>
              </w:rPr>
              <w:t>5.</w:t>
            </w:r>
            <w:r w:rsidRPr="00EA49D6">
              <w:rPr>
                <w:rFonts w:ascii="Times New Roman" w:hAnsi="Times New Roman" w:cs="Times New Roman"/>
                <w:b/>
                <w:sz w:val="18"/>
                <w:szCs w:val="18"/>
              </w:rPr>
              <w:tab/>
            </w:r>
            <w:r w:rsidRPr="00EA49D6">
              <w:rPr>
                <w:rFonts w:ascii="Times New Roman" w:hAnsi="Times New Roman" w:cs="Times New Roman"/>
                <w:bCs/>
                <w:sz w:val="18"/>
                <w:szCs w:val="18"/>
              </w:rPr>
              <w:t>Cross-border tax ruling:</w:t>
            </w:r>
            <w:r w:rsidRPr="00EA49D6">
              <w:rPr>
                <w:rFonts w:ascii="Times New Roman" w:hAnsi="Times New Roman" w:cs="Times New Roman"/>
                <w:b/>
                <w:sz w:val="18"/>
                <w:szCs w:val="18"/>
              </w:rPr>
              <w:t xml:space="preserve"> </w:t>
            </w:r>
            <w:r w:rsidRPr="00EA49D6">
              <w:rPr>
                <w:rFonts w:ascii="Times New Roman" w:hAnsi="Times New Roman" w:cs="Times New Roman"/>
                <w:sz w:val="18"/>
                <w:szCs w:val="18"/>
              </w:rPr>
              <w:t>means any agreement, communication or any other instrument or measure with similar effects, including a ruling issued, amended or renewed in the context of a tax audit and which meets the following conditions:</w:t>
            </w:r>
          </w:p>
          <w:p w14:paraId="172E5416" w14:textId="14E1877B" w:rsidR="00C428C9" w:rsidRPr="00EA49D6" w:rsidRDefault="00C428C9" w:rsidP="00C428C9">
            <w:pPr>
              <w:jc w:val="both"/>
              <w:rPr>
                <w:rFonts w:ascii="Times New Roman" w:hAnsi="Times New Roman" w:cs="Times New Roman"/>
                <w:sz w:val="18"/>
                <w:szCs w:val="18"/>
              </w:rPr>
            </w:pPr>
            <w:r w:rsidRPr="00EA49D6">
              <w:rPr>
                <w:rFonts w:ascii="Times New Roman" w:hAnsi="Times New Roman" w:cs="Times New Roman"/>
                <w:sz w:val="18"/>
                <w:szCs w:val="18"/>
              </w:rPr>
              <w:t xml:space="preserve">(a) </w:t>
            </w:r>
            <w:r w:rsidR="0000140B" w:rsidRPr="00EA49D6">
              <w:rPr>
                <w:rFonts w:ascii="Times New Roman" w:hAnsi="Times New Roman" w:cs="Times New Roman"/>
                <w:sz w:val="18"/>
                <w:szCs w:val="18"/>
              </w:rPr>
              <w:t xml:space="preserve"> </w:t>
            </w:r>
            <w:r w:rsidRPr="00EA49D6">
              <w:rPr>
                <w:rFonts w:ascii="Times New Roman" w:hAnsi="Times New Roman" w:cs="Times New Roman"/>
                <w:sz w:val="18"/>
                <w:szCs w:val="18"/>
              </w:rPr>
              <w:t>issued, amended or renewed by or on behalf of the government or tax authority of a Member State, or of territorial or administrative subdivisions of a Member State, including local authorities, whether or not it is actually used;</w:t>
            </w:r>
          </w:p>
          <w:p w14:paraId="675C88B6" w14:textId="2CAF3F7C" w:rsidR="00C428C9" w:rsidRPr="00EA49D6" w:rsidRDefault="00C428C9" w:rsidP="00C428C9">
            <w:pPr>
              <w:jc w:val="both"/>
              <w:rPr>
                <w:rFonts w:ascii="Times New Roman" w:hAnsi="Times New Roman" w:cs="Times New Roman"/>
                <w:sz w:val="18"/>
                <w:szCs w:val="18"/>
              </w:rPr>
            </w:pPr>
            <w:r w:rsidRPr="00EA49D6">
              <w:rPr>
                <w:rFonts w:ascii="Times New Roman" w:hAnsi="Times New Roman" w:cs="Times New Roman"/>
                <w:sz w:val="18"/>
                <w:szCs w:val="18"/>
              </w:rPr>
              <w:t xml:space="preserve">b) </w:t>
            </w:r>
            <w:r w:rsidR="0000140B" w:rsidRPr="00EA49D6">
              <w:rPr>
                <w:rFonts w:ascii="Times New Roman" w:hAnsi="Times New Roman" w:cs="Times New Roman"/>
                <w:sz w:val="18"/>
                <w:szCs w:val="18"/>
              </w:rPr>
              <w:t xml:space="preserve"> </w:t>
            </w:r>
            <w:r w:rsidRPr="00EA49D6">
              <w:rPr>
                <w:rFonts w:ascii="Times New Roman" w:hAnsi="Times New Roman" w:cs="Times New Roman"/>
                <w:sz w:val="18"/>
                <w:szCs w:val="18"/>
              </w:rPr>
              <w:t>has been issued, amended or renewed, to a specific person or group of persons, and on which that person or group of persons is entitled to rely;</w:t>
            </w:r>
          </w:p>
          <w:p w14:paraId="63F59B36" w14:textId="342C240F" w:rsidR="00C428C9" w:rsidRPr="00EA49D6" w:rsidRDefault="00C428C9" w:rsidP="00C428C9">
            <w:pPr>
              <w:jc w:val="both"/>
              <w:rPr>
                <w:rFonts w:ascii="Times New Roman" w:hAnsi="Times New Roman" w:cs="Times New Roman"/>
                <w:sz w:val="18"/>
                <w:szCs w:val="18"/>
              </w:rPr>
            </w:pPr>
            <w:r w:rsidRPr="00EA49D6">
              <w:rPr>
                <w:rFonts w:ascii="Times New Roman" w:hAnsi="Times New Roman" w:cs="Times New Roman"/>
                <w:sz w:val="18"/>
                <w:szCs w:val="18"/>
              </w:rPr>
              <w:t xml:space="preserve">(c) </w:t>
            </w:r>
            <w:r w:rsidR="0000140B" w:rsidRPr="00EA49D6">
              <w:rPr>
                <w:rFonts w:ascii="Times New Roman" w:hAnsi="Times New Roman" w:cs="Times New Roman"/>
                <w:sz w:val="18"/>
                <w:szCs w:val="18"/>
              </w:rPr>
              <w:t xml:space="preserve"> </w:t>
            </w:r>
            <w:r w:rsidRPr="00EA49D6">
              <w:rPr>
                <w:rFonts w:ascii="Times New Roman" w:hAnsi="Times New Roman" w:cs="Times New Roman"/>
                <w:sz w:val="18"/>
                <w:szCs w:val="18"/>
              </w:rPr>
              <w:t>it concerns the interpretation or application of a legislative or administrative provision concerning the administration or enforcement of national laws relating to taxation of the Member State, or of territorial or administrative subdivisions of the Member State, including local authorities;</w:t>
            </w:r>
          </w:p>
          <w:p w14:paraId="60505270" w14:textId="00F68C04" w:rsidR="00C428C9" w:rsidRPr="00EA49D6" w:rsidRDefault="00C428C9" w:rsidP="00C428C9">
            <w:pPr>
              <w:jc w:val="both"/>
              <w:rPr>
                <w:rFonts w:ascii="Times New Roman" w:hAnsi="Times New Roman" w:cs="Times New Roman"/>
                <w:sz w:val="18"/>
                <w:szCs w:val="18"/>
              </w:rPr>
            </w:pPr>
            <w:r w:rsidRPr="00EA49D6">
              <w:rPr>
                <w:rFonts w:ascii="Times New Roman" w:hAnsi="Times New Roman" w:cs="Times New Roman"/>
                <w:sz w:val="18"/>
                <w:szCs w:val="18"/>
              </w:rPr>
              <w:t xml:space="preserve">(d) it relates to a cross-border transaction or to the question of whether or not activities carried out by a person in another jurisdiction create a permanent establishment or to the fact whether </w:t>
            </w:r>
            <w:r w:rsidRPr="00EA49D6">
              <w:rPr>
                <w:rFonts w:ascii="Times New Roman" w:hAnsi="Times New Roman" w:cs="Times New Roman"/>
                <w:sz w:val="18"/>
                <w:szCs w:val="18"/>
              </w:rPr>
              <w:lastRenderedPageBreak/>
              <w:t>or not a natural person is resident for tax purposes in the Member State which issued the decision; and</w:t>
            </w:r>
          </w:p>
          <w:p w14:paraId="3FAC163D" w14:textId="224B8F00" w:rsidR="003C045B" w:rsidRPr="00EA49D6" w:rsidRDefault="00C428C9" w:rsidP="00C428C9">
            <w:pPr>
              <w:jc w:val="both"/>
              <w:rPr>
                <w:rFonts w:ascii="Times New Roman" w:hAnsi="Times New Roman" w:cs="Times New Roman"/>
                <w:sz w:val="18"/>
                <w:szCs w:val="18"/>
              </w:rPr>
            </w:pPr>
            <w:r w:rsidRPr="00EA49D6">
              <w:rPr>
                <w:rFonts w:ascii="Times New Roman" w:hAnsi="Times New Roman" w:cs="Times New Roman"/>
                <w:sz w:val="18"/>
                <w:szCs w:val="18"/>
              </w:rPr>
              <w:t xml:space="preserve">e) </w:t>
            </w:r>
            <w:r w:rsidR="0000140B" w:rsidRPr="00EA49D6">
              <w:rPr>
                <w:rFonts w:ascii="Times New Roman" w:hAnsi="Times New Roman" w:cs="Times New Roman"/>
                <w:sz w:val="18"/>
                <w:szCs w:val="18"/>
              </w:rPr>
              <w:t xml:space="preserve"> </w:t>
            </w:r>
            <w:r w:rsidRPr="00EA49D6">
              <w:rPr>
                <w:rFonts w:ascii="Times New Roman" w:hAnsi="Times New Roman" w:cs="Times New Roman"/>
                <w:sz w:val="18"/>
                <w:szCs w:val="18"/>
              </w:rPr>
              <w:t>is made prior to transactions or activities in another jurisdiction that may create a permanent establishment, or prior to the filing of a tax return covering the period in which the transaction or series of transactions or activities was carried out</w:t>
            </w:r>
          </w:p>
          <w:p w14:paraId="113FEEF7" w14:textId="77777777" w:rsidR="00C428C9" w:rsidRPr="00EA49D6" w:rsidRDefault="00C428C9" w:rsidP="00C428C9">
            <w:pPr>
              <w:jc w:val="both"/>
              <w:rPr>
                <w:rFonts w:ascii="Times New Roman" w:hAnsi="Times New Roman" w:cs="Times New Roman"/>
                <w:sz w:val="18"/>
                <w:szCs w:val="18"/>
              </w:rPr>
            </w:pPr>
          </w:p>
          <w:p w14:paraId="119B59E6" w14:textId="77777777" w:rsidR="00C428C9" w:rsidRPr="00EA49D6" w:rsidRDefault="00C428C9" w:rsidP="00C428C9">
            <w:pPr>
              <w:jc w:val="both"/>
              <w:rPr>
                <w:rFonts w:ascii="Times New Roman" w:hAnsi="Times New Roman" w:cs="Times New Roman"/>
                <w:sz w:val="18"/>
                <w:szCs w:val="18"/>
              </w:rPr>
            </w:pPr>
          </w:p>
          <w:p w14:paraId="6623C5DF" w14:textId="30FA28C6" w:rsidR="00C428C9" w:rsidRPr="00EA49D6" w:rsidRDefault="00C428C9" w:rsidP="00A235BE">
            <w:pPr>
              <w:jc w:val="center"/>
              <w:rPr>
                <w:rFonts w:ascii="Times New Roman" w:hAnsi="Times New Roman" w:cs="Times New Roman"/>
                <w:b/>
                <w:sz w:val="18"/>
                <w:szCs w:val="18"/>
              </w:rPr>
            </w:pPr>
            <w:r w:rsidRPr="00EA49D6">
              <w:rPr>
                <w:rFonts w:ascii="Times New Roman" w:hAnsi="Times New Roman" w:cs="Times New Roman"/>
                <w:b/>
                <w:sz w:val="18"/>
                <w:szCs w:val="18"/>
              </w:rPr>
              <w:t>Article 2</w:t>
            </w:r>
          </w:p>
          <w:p w14:paraId="056AD841" w14:textId="77777777" w:rsidR="00C428C9" w:rsidRPr="00EA49D6" w:rsidRDefault="00C428C9" w:rsidP="00C428C9">
            <w:pPr>
              <w:jc w:val="center"/>
              <w:rPr>
                <w:rFonts w:ascii="Times New Roman" w:hAnsi="Times New Roman" w:cs="Times New Roman"/>
                <w:b/>
                <w:sz w:val="18"/>
                <w:szCs w:val="18"/>
              </w:rPr>
            </w:pPr>
            <w:r w:rsidRPr="00EA49D6">
              <w:rPr>
                <w:rFonts w:ascii="Times New Roman" w:hAnsi="Times New Roman" w:cs="Times New Roman"/>
                <w:b/>
                <w:sz w:val="18"/>
                <w:szCs w:val="18"/>
              </w:rPr>
              <w:t>Definitions</w:t>
            </w:r>
          </w:p>
          <w:p w14:paraId="30245A2C" w14:textId="77777777" w:rsidR="00C428C9" w:rsidRPr="00EA49D6" w:rsidRDefault="00C428C9" w:rsidP="00C428C9">
            <w:pPr>
              <w:jc w:val="both"/>
              <w:rPr>
                <w:rFonts w:ascii="Times New Roman" w:hAnsi="Times New Roman" w:cs="Times New Roman"/>
                <w:sz w:val="18"/>
                <w:szCs w:val="18"/>
              </w:rPr>
            </w:pPr>
          </w:p>
          <w:p w14:paraId="1DBF07D8" w14:textId="77777777" w:rsidR="00D732B4" w:rsidRPr="00EA49D6" w:rsidRDefault="00D732B4" w:rsidP="00D732B4">
            <w:pPr>
              <w:spacing w:before="100" w:beforeAutospacing="1" w:after="100" w:afterAutospacing="1"/>
              <w:jc w:val="both"/>
              <w:rPr>
                <w:rFonts w:ascii="Times New Roman" w:eastAsia="Times New Roman" w:hAnsi="Times New Roman" w:cs="Times New Roman"/>
                <w:sz w:val="18"/>
                <w:szCs w:val="18"/>
              </w:rPr>
            </w:pPr>
            <w:r w:rsidRPr="00EA49D6">
              <w:rPr>
                <w:rFonts w:ascii="Times New Roman" w:eastAsia="Times New Roman" w:hAnsi="Times New Roman" w:cs="Times New Roman"/>
                <w:sz w:val="18"/>
                <w:szCs w:val="18"/>
              </w:rPr>
              <w:t>A cross-border transaction may include, but is not limited to, the making of investments, the supply of goods, services or financing, or the use of tangible or intangible assets, and it is not necessary for it to directly involve the person receiving the advance cross-border ruling.</w:t>
            </w:r>
          </w:p>
          <w:p w14:paraId="7BD77AB0" w14:textId="44697BCC" w:rsidR="00C428C9" w:rsidRPr="00EA49D6" w:rsidRDefault="00C428C9" w:rsidP="00C428C9">
            <w:pPr>
              <w:jc w:val="both"/>
              <w:rPr>
                <w:rFonts w:ascii="Times New Roman" w:hAnsi="Times New Roman" w:cs="Times New Roman"/>
                <w:sz w:val="18"/>
                <w:szCs w:val="18"/>
              </w:rPr>
            </w:pPr>
          </w:p>
        </w:tc>
        <w:tc>
          <w:tcPr>
            <w:tcW w:w="720" w:type="dxa"/>
            <w:shd w:val="clear" w:color="auto" w:fill="F2F2F2"/>
          </w:tcPr>
          <w:p w14:paraId="148AA987" w14:textId="09738B5B" w:rsidR="003C045B" w:rsidRPr="00EA49D6" w:rsidRDefault="00EC4617"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lastRenderedPageBreak/>
              <w:t>F</w:t>
            </w:r>
          </w:p>
        </w:tc>
        <w:tc>
          <w:tcPr>
            <w:tcW w:w="3406" w:type="dxa"/>
            <w:shd w:val="clear" w:color="auto" w:fill="F2F2F2"/>
          </w:tcPr>
          <w:p w14:paraId="26964FA0" w14:textId="77777777" w:rsidR="003C045B" w:rsidRPr="00EA49D6" w:rsidRDefault="003C045B" w:rsidP="003C045B">
            <w:pPr>
              <w:rPr>
                <w:rFonts w:ascii="Times New Roman" w:eastAsia="Calibri" w:hAnsi="Times New Roman" w:cs="Times New Roman"/>
                <w:i/>
                <w:sz w:val="18"/>
                <w:szCs w:val="18"/>
              </w:rPr>
            </w:pPr>
          </w:p>
        </w:tc>
      </w:tr>
      <w:tr w:rsidR="003C045B" w:rsidRPr="00EA49D6" w14:paraId="54545BFE" w14:textId="77777777" w:rsidTr="003675BD">
        <w:trPr>
          <w:trHeight w:val="1718"/>
        </w:trPr>
        <w:tc>
          <w:tcPr>
            <w:tcW w:w="540" w:type="dxa"/>
            <w:shd w:val="clear" w:color="auto" w:fill="F2F2F2"/>
          </w:tcPr>
          <w:p w14:paraId="2072CEFD" w14:textId="77777777" w:rsidR="003C045B" w:rsidRPr="00EA49D6" w:rsidRDefault="003C045B" w:rsidP="003C045B">
            <w:pPr>
              <w:jc w:val="center"/>
              <w:rPr>
                <w:rFonts w:ascii="Times New Roman" w:eastAsia="Calibri" w:hAnsi="Times New Roman" w:cs="Times New Roman"/>
                <w:i/>
                <w:sz w:val="18"/>
                <w:szCs w:val="18"/>
              </w:rPr>
            </w:pPr>
          </w:p>
        </w:tc>
        <w:tc>
          <w:tcPr>
            <w:tcW w:w="5400" w:type="dxa"/>
            <w:shd w:val="clear" w:color="auto" w:fill="FFFFFF" w:themeFill="background1"/>
          </w:tcPr>
          <w:p w14:paraId="1B6CEC5B" w14:textId="27DE6C4C" w:rsidR="00266B43" w:rsidRPr="00EA49D6" w:rsidRDefault="00266B43" w:rsidP="00266B43">
            <w:pPr>
              <w:pStyle w:val="oj-ti-grseq-1"/>
              <w:shd w:val="clear" w:color="auto" w:fill="FFFFFF"/>
              <w:spacing w:before="240" w:after="120"/>
              <w:jc w:val="both"/>
              <w:rPr>
                <w:rFonts w:eastAsia="Calibri"/>
                <w:iCs/>
                <w:sz w:val="18"/>
                <w:szCs w:val="18"/>
                <w:lang w:val="en-US"/>
              </w:rPr>
            </w:pPr>
            <w:r w:rsidRPr="00EA49D6">
              <w:rPr>
                <w:rFonts w:eastAsia="Calibri"/>
                <w:iCs/>
                <w:sz w:val="18"/>
                <w:szCs w:val="18"/>
                <w:lang w:val="en-US"/>
              </w:rPr>
              <w:t>15. "advance pricing arrangement" means any agreement, communication or any other instrument or action with similar effects, including one issued, amended or renewed in the context of a tax audit, and which meets the following conditions:</w:t>
            </w:r>
          </w:p>
          <w:p w14:paraId="5C3C066F" w14:textId="6D9FD594" w:rsidR="00266B43" w:rsidRPr="00EA49D6" w:rsidRDefault="00266B43" w:rsidP="00266B43">
            <w:pPr>
              <w:pStyle w:val="oj-ti-grseq-1"/>
              <w:numPr>
                <w:ilvl w:val="0"/>
                <w:numId w:val="37"/>
              </w:numPr>
              <w:shd w:val="clear" w:color="auto" w:fill="FFFFFF"/>
              <w:spacing w:before="240" w:after="120"/>
              <w:jc w:val="both"/>
              <w:rPr>
                <w:rFonts w:eastAsia="Calibri"/>
                <w:iCs/>
                <w:sz w:val="18"/>
                <w:szCs w:val="18"/>
                <w:lang w:val="en-US"/>
              </w:rPr>
            </w:pPr>
            <w:r w:rsidRPr="00EA49D6">
              <w:rPr>
                <w:rFonts w:eastAsia="Calibri"/>
                <w:iCs/>
                <w:sz w:val="18"/>
                <w:szCs w:val="18"/>
                <w:lang w:val="en-US"/>
              </w:rPr>
              <w:t>is issued, amended or renewed by, or on behalf of, the government or the tax authority of one or more Member States, including any territorial or administrative subdivision thereof, including local authorities, regardless of whether it is effectively used;</w:t>
            </w:r>
          </w:p>
          <w:p w14:paraId="15B65172" w14:textId="72186F33" w:rsidR="00266B43" w:rsidRPr="00EA49D6" w:rsidRDefault="00266B43" w:rsidP="00266B43">
            <w:pPr>
              <w:pStyle w:val="oj-ti-grseq-1"/>
              <w:shd w:val="clear" w:color="auto" w:fill="FFFFFF"/>
              <w:spacing w:before="240" w:after="120"/>
              <w:jc w:val="both"/>
              <w:rPr>
                <w:rFonts w:eastAsia="Calibri"/>
                <w:iCs/>
                <w:sz w:val="18"/>
                <w:szCs w:val="18"/>
                <w:lang w:val="en-US"/>
              </w:rPr>
            </w:pPr>
            <w:r w:rsidRPr="00EA49D6">
              <w:rPr>
                <w:rFonts w:eastAsia="Calibri"/>
                <w:iCs/>
                <w:sz w:val="18"/>
                <w:szCs w:val="18"/>
                <w:lang w:val="en-US"/>
              </w:rPr>
              <w:t>(b) is issued, amended or renewed, to a particular person or a group of persons and upon which that person or a group of persons is entitled to rely; and</w:t>
            </w:r>
          </w:p>
          <w:p w14:paraId="7490DDD8" w14:textId="2CD1E17C" w:rsidR="00266B43" w:rsidRPr="00EA49D6" w:rsidRDefault="00266B43" w:rsidP="00266B43">
            <w:pPr>
              <w:pStyle w:val="oj-ti-grseq-1"/>
              <w:numPr>
                <w:ilvl w:val="0"/>
                <w:numId w:val="37"/>
              </w:numPr>
              <w:shd w:val="clear" w:color="auto" w:fill="FFFFFF"/>
              <w:spacing w:before="240" w:after="120"/>
              <w:jc w:val="both"/>
              <w:rPr>
                <w:rFonts w:eastAsia="Calibri"/>
                <w:iCs/>
                <w:sz w:val="18"/>
                <w:szCs w:val="18"/>
                <w:lang w:val="en-US"/>
              </w:rPr>
            </w:pPr>
            <w:r w:rsidRPr="00EA49D6">
              <w:rPr>
                <w:rFonts w:eastAsia="Calibri"/>
                <w:iCs/>
                <w:sz w:val="18"/>
                <w:szCs w:val="18"/>
                <w:lang w:val="en-US"/>
              </w:rPr>
              <w:t xml:space="preserve">determines in advance of cross-border transactions between associated enterprises, an appropriate set of criteria for the determination of the transfer pricing for those transactions or </w:t>
            </w:r>
            <w:r w:rsidRPr="00EA49D6">
              <w:rPr>
                <w:rFonts w:eastAsia="Calibri"/>
                <w:iCs/>
                <w:sz w:val="18"/>
                <w:szCs w:val="18"/>
                <w:lang w:val="en-US"/>
              </w:rPr>
              <w:lastRenderedPageBreak/>
              <w:t>determines the attribution of profits to a permanent establishment.</w:t>
            </w:r>
          </w:p>
          <w:p w14:paraId="122EA6A7" w14:textId="3A953387" w:rsidR="00266B43" w:rsidRPr="00EA49D6" w:rsidRDefault="00266B43" w:rsidP="00266B43">
            <w:pPr>
              <w:pStyle w:val="oj-ti-grseq-1"/>
              <w:shd w:val="clear" w:color="auto" w:fill="FFFFFF"/>
              <w:spacing w:before="240" w:after="120"/>
              <w:jc w:val="both"/>
              <w:rPr>
                <w:rFonts w:eastAsia="Calibri"/>
                <w:iCs/>
                <w:sz w:val="18"/>
                <w:szCs w:val="18"/>
                <w:lang w:val="en-US"/>
              </w:rPr>
            </w:pPr>
            <w:r w:rsidRPr="00EA49D6">
              <w:rPr>
                <w:rFonts w:eastAsia="Calibri"/>
                <w:iCs/>
                <w:sz w:val="18"/>
                <w:szCs w:val="18"/>
                <w:lang w:val="en-US"/>
              </w:rPr>
              <w:t>Enterprises are associated enterprises where one enterprise participates directly or indirectly in the management, control or capital of another enterprise or the same persons participate directly or indirectly in the management, control or capital of the enterprises.</w:t>
            </w:r>
          </w:p>
          <w:p w14:paraId="6F7B7ABA" w14:textId="22BC03F3" w:rsidR="003C045B" w:rsidRPr="00EA49D6" w:rsidRDefault="00266B43" w:rsidP="00266B43">
            <w:pPr>
              <w:pStyle w:val="oj-ti-grseq-1"/>
              <w:shd w:val="clear" w:color="auto" w:fill="FFFFFF"/>
              <w:spacing w:before="240" w:beforeAutospacing="0" w:after="120" w:afterAutospacing="0"/>
              <w:jc w:val="both"/>
              <w:rPr>
                <w:rFonts w:eastAsia="Calibri"/>
                <w:iCs/>
                <w:sz w:val="18"/>
                <w:szCs w:val="18"/>
                <w:lang w:val="en-US"/>
              </w:rPr>
            </w:pPr>
            <w:r w:rsidRPr="00EA49D6">
              <w:rPr>
                <w:rFonts w:eastAsia="Calibri"/>
                <w:iCs/>
                <w:sz w:val="18"/>
                <w:szCs w:val="18"/>
                <w:lang w:val="en-US"/>
              </w:rPr>
              <w:t>Transfer prices are the prices at which an enterprise transfers physical goods and intangible property or provides services to associated enterprises, and "transfer pricing" is to be construed accordingly.</w:t>
            </w:r>
          </w:p>
        </w:tc>
        <w:tc>
          <w:tcPr>
            <w:tcW w:w="540" w:type="dxa"/>
            <w:shd w:val="clear" w:color="auto" w:fill="FFFFFF" w:themeFill="background1"/>
          </w:tcPr>
          <w:p w14:paraId="6F2021F6" w14:textId="77777777" w:rsidR="003C045B" w:rsidRPr="00EA49D6" w:rsidRDefault="003C045B" w:rsidP="003C045B">
            <w:pPr>
              <w:jc w:val="center"/>
              <w:rPr>
                <w:rFonts w:ascii="Times New Roman" w:eastAsia="Calibri" w:hAnsi="Times New Roman" w:cs="Times New Roman"/>
                <w:sz w:val="18"/>
                <w:szCs w:val="18"/>
              </w:rPr>
            </w:pPr>
          </w:p>
        </w:tc>
        <w:tc>
          <w:tcPr>
            <w:tcW w:w="554" w:type="dxa"/>
            <w:shd w:val="clear" w:color="auto" w:fill="FFFFFF" w:themeFill="background1"/>
          </w:tcPr>
          <w:p w14:paraId="3EC3C5E4" w14:textId="210C4CC9" w:rsidR="003C045B" w:rsidRPr="00EA49D6" w:rsidRDefault="00EC4617"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Article 2</w:t>
            </w:r>
          </w:p>
        </w:tc>
        <w:tc>
          <w:tcPr>
            <w:tcW w:w="5040" w:type="dxa"/>
            <w:shd w:val="clear" w:color="auto" w:fill="FFFFFF" w:themeFill="background1"/>
          </w:tcPr>
          <w:p w14:paraId="453AEEE9" w14:textId="5DB98397" w:rsidR="00EC4617" w:rsidRPr="00EA49D6" w:rsidRDefault="00EC4617" w:rsidP="00A235BE">
            <w:pPr>
              <w:jc w:val="center"/>
              <w:rPr>
                <w:rFonts w:ascii="Times New Roman" w:hAnsi="Times New Roman" w:cs="Times New Roman"/>
                <w:b/>
                <w:sz w:val="18"/>
                <w:szCs w:val="18"/>
              </w:rPr>
            </w:pPr>
            <w:r w:rsidRPr="00EA49D6">
              <w:rPr>
                <w:rFonts w:ascii="Times New Roman" w:hAnsi="Times New Roman" w:cs="Times New Roman"/>
                <w:b/>
                <w:sz w:val="18"/>
                <w:szCs w:val="18"/>
              </w:rPr>
              <w:t>Article 2</w:t>
            </w:r>
          </w:p>
          <w:p w14:paraId="00EC3312" w14:textId="77777777" w:rsidR="00EC4617" w:rsidRPr="00EA49D6" w:rsidRDefault="00EC4617" w:rsidP="00A235BE">
            <w:pPr>
              <w:jc w:val="center"/>
              <w:rPr>
                <w:rFonts w:ascii="Times New Roman" w:hAnsi="Times New Roman" w:cs="Times New Roman"/>
                <w:b/>
                <w:sz w:val="18"/>
                <w:szCs w:val="18"/>
              </w:rPr>
            </w:pPr>
            <w:r w:rsidRPr="00EA49D6">
              <w:rPr>
                <w:rFonts w:ascii="Times New Roman" w:hAnsi="Times New Roman" w:cs="Times New Roman"/>
                <w:b/>
                <w:sz w:val="18"/>
                <w:szCs w:val="18"/>
              </w:rPr>
              <w:t>Definitions</w:t>
            </w:r>
          </w:p>
          <w:p w14:paraId="64921BCA" w14:textId="2413ED8C" w:rsidR="003C045B" w:rsidRPr="00EA49D6" w:rsidRDefault="003C045B" w:rsidP="00A235BE">
            <w:pPr>
              <w:jc w:val="center"/>
              <w:rPr>
                <w:rFonts w:ascii="Times New Roman" w:hAnsi="Times New Roman" w:cs="Times New Roman"/>
                <w:sz w:val="18"/>
                <w:szCs w:val="18"/>
              </w:rPr>
            </w:pPr>
          </w:p>
          <w:p w14:paraId="1C7D2C05" w14:textId="02654E31" w:rsidR="00534507" w:rsidRPr="00EA49D6" w:rsidRDefault="002351EE" w:rsidP="00534507">
            <w:pPr>
              <w:jc w:val="both"/>
              <w:rPr>
                <w:rFonts w:ascii="Times New Roman" w:hAnsi="Times New Roman" w:cs="Times New Roman"/>
                <w:sz w:val="18"/>
                <w:szCs w:val="18"/>
              </w:rPr>
            </w:pPr>
            <w:r w:rsidRPr="00EA49D6">
              <w:rPr>
                <w:rFonts w:ascii="Times New Roman" w:hAnsi="Times New Roman" w:cs="Times New Roman"/>
                <w:sz w:val="18"/>
                <w:szCs w:val="18"/>
              </w:rPr>
              <w:t xml:space="preserve">6. </w:t>
            </w:r>
            <w:r w:rsidR="00534507" w:rsidRPr="00EA49D6">
              <w:rPr>
                <w:rFonts w:ascii="Times New Roman" w:hAnsi="Times New Roman" w:cs="Times New Roman"/>
                <w:sz w:val="18"/>
                <w:szCs w:val="18"/>
              </w:rPr>
              <w:t>Advance Pricing Agreement (APA) means any agreement, communication or any other instrument or measure with similar effects, including an agreement issued, amended or renewed in the context of a tax audit and which meets the following conditions:</w:t>
            </w:r>
          </w:p>
          <w:p w14:paraId="090E8D58" w14:textId="6E840658" w:rsidR="00534507" w:rsidRPr="00EA49D6" w:rsidRDefault="00534507" w:rsidP="00534507">
            <w:pPr>
              <w:jc w:val="both"/>
              <w:rPr>
                <w:rFonts w:ascii="Times New Roman" w:hAnsi="Times New Roman" w:cs="Times New Roman"/>
                <w:sz w:val="18"/>
                <w:szCs w:val="18"/>
              </w:rPr>
            </w:pPr>
            <w:r w:rsidRPr="00EA49D6">
              <w:rPr>
                <w:rFonts w:ascii="Times New Roman" w:hAnsi="Times New Roman" w:cs="Times New Roman"/>
                <w:sz w:val="18"/>
                <w:szCs w:val="18"/>
              </w:rPr>
              <w:t xml:space="preserve">(a) </w:t>
            </w:r>
            <w:r w:rsidR="0000140B" w:rsidRPr="00EA49D6">
              <w:rPr>
                <w:rFonts w:ascii="Times New Roman" w:hAnsi="Times New Roman" w:cs="Times New Roman"/>
                <w:sz w:val="18"/>
                <w:szCs w:val="18"/>
              </w:rPr>
              <w:t xml:space="preserve"> </w:t>
            </w:r>
            <w:r w:rsidRPr="00EA49D6">
              <w:rPr>
                <w:rFonts w:ascii="Times New Roman" w:hAnsi="Times New Roman" w:cs="Times New Roman"/>
                <w:sz w:val="18"/>
                <w:szCs w:val="18"/>
              </w:rPr>
              <w:t>issued, amended or renewed by, or on behalf of, the government or tax authority of one or more Member States, or of their territorial or administrative subdivisions, including local authorities, whether or not it is effectively used;</w:t>
            </w:r>
          </w:p>
          <w:p w14:paraId="0E510E10" w14:textId="0EC21040" w:rsidR="00534507" w:rsidRPr="00EA49D6" w:rsidRDefault="00534507" w:rsidP="00534507">
            <w:pPr>
              <w:jc w:val="both"/>
              <w:rPr>
                <w:rFonts w:ascii="Times New Roman" w:hAnsi="Times New Roman" w:cs="Times New Roman"/>
                <w:sz w:val="18"/>
                <w:szCs w:val="18"/>
              </w:rPr>
            </w:pPr>
            <w:r w:rsidRPr="00EA49D6">
              <w:rPr>
                <w:rFonts w:ascii="Times New Roman" w:hAnsi="Times New Roman" w:cs="Times New Roman"/>
                <w:sz w:val="18"/>
                <w:szCs w:val="18"/>
              </w:rPr>
              <w:t xml:space="preserve">b) </w:t>
            </w:r>
            <w:r w:rsidR="0000140B" w:rsidRPr="00EA49D6">
              <w:rPr>
                <w:rFonts w:ascii="Times New Roman" w:hAnsi="Times New Roman" w:cs="Times New Roman"/>
                <w:sz w:val="18"/>
                <w:szCs w:val="18"/>
              </w:rPr>
              <w:t xml:space="preserve"> </w:t>
            </w:r>
            <w:r w:rsidRPr="00EA49D6">
              <w:rPr>
                <w:rFonts w:ascii="Times New Roman" w:hAnsi="Times New Roman" w:cs="Times New Roman"/>
                <w:sz w:val="18"/>
                <w:szCs w:val="18"/>
              </w:rPr>
              <w:t>is issued, amended or renewed, for a specific person or group of persons and on which that person or group of persons are entitled to rely; and</w:t>
            </w:r>
          </w:p>
          <w:p w14:paraId="0F27DCC6" w14:textId="10DE9B8B" w:rsidR="006D648E" w:rsidRPr="00EA49D6" w:rsidRDefault="00534507" w:rsidP="00534507">
            <w:pPr>
              <w:jc w:val="both"/>
              <w:rPr>
                <w:rFonts w:ascii="Times New Roman" w:hAnsi="Times New Roman" w:cs="Times New Roman"/>
                <w:sz w:val="18"/>
                <w:szCs w:val="18"/>
              </w:rPr>
            </w:pPr>
            <w:r w:rsidRPr="00EA49D6">
              <w:rPr>
                <w:rFonts w:ascii="Times New Roman" w:hAnsi="Times New Roman" w:cs="Times New Roman"/>
                <w:sz w:val="18"/>
                <w:szCs w:val="18"/>
              </w:rPr>
              <w:t xml:space="preserve">c) </w:t>
            </w:r>
            <w:r w:rsidR="0000140B" w:rsidRPr="00EA49D6">
              <w:rPr>
                <w:rFonts w:ascii="Times New Roman" w:hAnsi="Times New Roman" w:cs="Times New Roman"/>
                <w:sz w:val="18"/>
                <w:szCs w:val="18"/>
              </w:rPr>
              <w:t xml:space="preserve"> </w:t>
            </w:r>
            <w:r w:rsidRPr="00EA49D6">
              <w:rPr>
                <w:rFonts w:ascii="Times New Roman" w:hAnsi="Times New Roman" w:cs="Times New Roman"/>
                <w:sz w:val="18"/>
                <w:szCs w:val="18"/>
              </w:rPr>
              <w:t>determines, prior to cross-border transactions between related entities, a set of appropriate criteria for determining the transfer price for such transactions or determines the allocation of profits to a permanent establishment</w:t>
            </w:r>
            <w:r w:rsidR="002351EE" w:rsidRPr="00EA49D6">
              <w:rPr>
                <w:rFonts w:ascii="Times New Roman" w:hAnsi="Times New Roman" w:cs="Times New Roman"/>
                <w:sz w:val="18"/>
                <w:szCs w:val="18"/>
              </w:rPr>
              <w:t xml:space="preserve">                   </w:t>
            </w:r>
          </w:p>
          <w:p w14:paraId="0C5F2497" w14:textId="77777777" w:rsidR="00D827AD" w:rsidRPr="00EA49D6" w:rsidRDefault="00D827AD" w:rsidP="00D827AD">
            <w:pPr>
              <w:rPr>
                <w:rFonts w:ascii="Times New Roman" w:hAnsi="Times New Roman" w:cs="Times New Roman"/>
                <w:sz w:val="18"/>
                <w:szCs w:val="18"/>
              </w:rPr>
            </w:pPr>
          </w:p>
          <w:p w14:paraId="66C22D77" w14:textId="77777777" w:rsidR="00534507" w:rsidRPr="00EA49D6" w:rsidRDefault="00534507" w:rsidP="00534507">
            <w:pPr>
              <w:jc w:val="both"/>
              <w:rPr>
                <w:rFonts w:ascii="Times New Roman" w:hAnsi="Times New Roman" w:cs="Times New Roman"/>
                <w:sz w:val="18"/>
                <w:szCs w:val="18"/>
              </w:rPr>
            </w:pPr>
          </w:p>
          <w:p w14:paraId="226CCEBA" w14:textId="03755465" w:rsidR="00534507" w:rsidRPr="00EA49D6" w:rsidRDefault="00534507" w:rsidP="00534507">
            <w:pPr>
              <w:jc w:val="both"/>
              <w:rPr>
                <w:rFonts w:ascii="Times New Roman" w:hAnsi="Times New Roman" w:cs="Times New Roman"/>
                <w:sz w:val="18"/>
                <w:szCs w:val="18"/>
              </w:rPr>
            </w:pPr>
            <w:r w:rsidRPr="00EA49D6">
              <w:rPr>
                <w:rFonts w:ascii="Times New Roman" w:hAnsi="Times New Roman" w:cs="Times New Roman"/>
                <w:sz w:val="18"/>
                <w:szCs w:val="18"/>
              </w:rPr>
              <w:t xml:space="preserve">7. Enterprises are </w:t>
            </w:r>
            <w:r w:rsidR="00D732B4" w:rsidRPr="00EA49D6">
              <w:rPr>
                <w:rFonts w:ascii="Times New Roman" w:hAnsi="Times New Roman" w:cs="Times New Roman"/>
                <w:sz w:val="18"/>
                <w:szCs w:val="18"/>
              </w:rPr>
              <w:t>associated</w:t>
            </w:r>
            <w:r w:rsidRPr="00EA49D6">
              <w:rPr>
                <w:rFonts w:ascii="Times New Roman" w:hAnsi="Times New Roman" w:cs="Times New Roman"/>
                <w:sz w:val="18"/>
                <w:szCs w:val="18"/>
              </w:rPr>
              <w:t xml:space="preserve"> enterprises where one enterprise participates directly or indirectly in the management, control or capital of another enterprise or the same persons participate directly or indirectly in the management, control or capital of the enterprises.</w:t>
            </w:r>
          </w:p>
          <w:p w14:paraId="2C8C99DF" w14:textId="77777777" w:rsidR="00534507" w:rsidRPr="00EA49D6" w:rsidRDefault="00534507" w:rsidP="00534507">
            <w:pPr>
              <w:jc w:val="both"/>
              <w:rPr>
                <w:rFonts w:ascii="Times New Roman" w:hAnsi="Times New Roman" w:cs="Times New Roman"/>
                <w:sz w:val="18"/>
                <w:szCs w:val="18"/>
              </w:rPr>
            </w:pPr>
          </w:p>
          <w:p w14:paraId="778B887A" w14:textId="473348B6" w:rsidR="00D827AD" w:rsidRPr="00EA49D6" w:rsidRDefault="00D827AD" w:rsidP="00534507">
            <w:pPr>
              <w:jc w:val="both"/>
              <w:rPr>
                <w:rFonts w:ascii="Times New Roman" w:hAnsi="Times New Roman" w:cs="Times New Roman"/>
                <w:sz w:val="18"/>
                <w:szCs w:val="18"/>
              </w:rPr>
            </w:pPr>
            <w:r w:rsidRPr="00EA49D6">
              <w:rPr>
                <w:rFonts w:ascii="Times New Roman" w:hAnsi="Times New Roman" w:cs="Times New Roman"/>
                <w:sz w:val="18"/>
                <w:szCs w:val="18"/>
              </w:rPr>
              <w:t>14. Transfer Pricing is the prices at which an enterprise transfers physical goods and intangible assets or provides services to related enterprises, and “transfer pricing” should be interpreted accordingly.</w:t>
            </w:r>
          </w:p>
        </w:tc>
        <w:tc>
          <w:tcPr>
            <w:tcW w:w="720" w:type="dxa"/>
            <w:shd w:val="clear" w:color="auto" w:fill="FFFFFF" w:themeFill="background1"/>
          </w:tcPr>
          <w:p w14:paraId="3EFFA98E" w14:textId="045381B2" w:rsidR="003C045B" w:rsidRPr="00EA49D6" w:rsidRDefault="00EC4617"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lastRenderedPageBreak/>
              <w:t>F</w:t>
            </w:r>
          </w:p>
        </w:tc>
        <w:tc>
          <w:tcPr>
            <w:tcW w:w="3406" w:type="dxa"/>
            <w:shd w:val="clear" w:color="auto" w:fill="FFFFFF" w:themeFill="background1"/>
          </w:tcPr>
          <w:p w14:paraId="71188287" w14:textId="489CC9FB" w:rsidR="003C045B" w:rsidRPr="00EA49D6" w:rsidRDefault="003C045B" w:rsidP="003C045B">
            <w:pPr>
              <w:rPr>
                <w:rFonts w:ascii="Times New Roman" w:eastAsia="Calibri" w:hAnsi="Times New Roman" w:cs="Times New Roman"/>
                <w:sz w:val="18"/>
                <w:szCs w:val="18"/>
              </w:rPr>
            </w:pPr>
          </w:p>
        </w:tc>
      </w:tr>
      <w:tr w:rsidR="003C045B" w:rsidRPr="00EA49D6" w14:paraId="65C77C64" w14:textId="77777777" w:rsidTr="003675BD">
        <w:trPr>
          <w:trHeight w:val="2085"/>
        </w:trPr>
        <w:tc>
          <w:tcPr>
            <w:tcW w:w="540" w:type="dxa"/>
          </w:tcPr>
          <w:p w14:paraId="6050527A" w14:textId="424C66A8" w:rsidR="003C045B" w:rsidRPr="00EA49D6" w:rsidRDefault="003C045B" w:rsidP="003C045B">
            <w:pPr>
              <w:jc w:val="both"/>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1</w:t>
            </w:r>
          </w:p>
        </w:tc>
        <w:tc>
          <w:tcPr>
            <w:tcW w:w="5400" w:type="dxa"/>
          </w:tcPr>
          <w:p w14:paraId="7CDDF96F" w14:textId="1F2747C8" w:rsidR="00266B43" w:rsidRPr="00EA49D6" w:rsidRDefault="00266B43" w:rsidP="00266B43">
            <w:pPr>
              <w:jc w:val="both"/>
              <w:rPr>
                <w:rFonts w:ascii="Times New Roman" w:eastAsia="Times New Roman" w:hAnsi="Times New Roman" w:cs="Times New Roman"/>
                <w:color w:val="333333"/>
                <w:sz w:val="18"/>
                <w:szCs w:val="18"/>
              </w:rPr>
            </w:pPr>
            <w:r w:rsidRPr="00EA49D6">
              <w:rPr>
                <w:rFonts w:ascii="Times New Roman" w:eastAsia="Times New Roman" w:hAnsi="Times New Roman" w:cs="Times New Roman"/>
                <w:color w:val="333333"/>
                <w:sz w:val="18"/>
                <w:szCs w:val="18"/>
              </w:rPr>
              <w:t>16. For the purpose of point 14 "cross-border transaction" means a transaction or series of transactions where:</w:t>
            </w:r>
          </w:p>
          <w:p w14:paraId="6AB71FC4" w14:textId="77777777" w:rsidR="00266B43" w:rsidRPr="00EA49D6" w:rsidRDefault="00266B43" w:rsidP="00266B43">
            <w:pPr>
              <w:jc w:val="both"/>
              <w:rPr>
                <w:rFonts w:ascii="Times New Roman" w:eastAsia="Times New Roman" w:hAnsi="Times New Roman" w:cs="Times New Roman"/>
                <w:color w:val="333333"/>
                <w:sz w:val="18"/>
                <w:szCs w:val="18"/>
              </w:rPr>
            </w:pPr>
          </w:p>
          <w:p w14:paraId="07780970" w14:textId="610AA4D5" w:rsidR="00266B43" w:rsidRPr="00EA49D6" w:rsidRDefault="00266B43" w:rsidP="00266B43">
            <w:pPr>
              <w:pStyle w:val="ListParagraph"/>
              <w:numPr>
                <w:ilvl w:val="0"/>
                <w:numId w:val="38"/>
              </w:numPr>
              <w:spacing w:after="0" w:line="240" w:lineRule="auto"/>
              <w:jc w:val="both"/>
              <w:rPr>
                <w:rFonts w:ascii="Times New Roman" w:eastAsia="Times New Roman" w:hAnsi="Times New Roman" w:cs="Times New Roman"/>
                <w:color w:val="333333"/>
                <w:sz w:val="18"/>
                <w:szCs w:val="18"/>
              </w:rPr>
            </w:pPr>
            <w:r w:rsidRPr="00EA49D6">
              <w:rPr>
                <w:rFonts w:ascii="Times New Roman" w:eastAsia="Times New Roman" w:hAnsi="Times New Roman" w:cs="Times New Roman"/>
                <w:color w:val="333333"/>
                <w:sz w:val="18"/>
                <w:szCs w:val="18"/>
              </w:rPr>
              <w:t>not all of the parties to the transaction or series of transactions are resident for tax purposes in the Member State issuing, amending or renewing the advance cross-border ruling;</w:t>
            </w:r>
          </w:p>
          <w:p w14:paraId="230EAFB5" w14:textId="77777777" w:rsidR="00266B43" w:rsidRPr="00EA49D6" w:rsidRDefault="00266B43" w:rsidP="00266B43">
            <w:pPr>
              <w:jc w:val="both"/>
              <w:rPr>
                <w:rFonts w:ascii="Times New Roman" w:eastAsia="Times New Roman" w:hAnsi="Times New Roman" w:cs="Times New Roman"/>
                <w:color w:val="333333"/>
                <w:sz w:val="18"/>
                <w:szCs w:val="18"/>
              </w:rPr>
            </w:pPr>
          </w:p>
          <w:p w14:paraId="3988D22D" w14:textId="043876B3" w:rsidR="00266B43" w:rsidRPr="00EA49D6" w:rsidRDefault="00266B43" w:rsidP="00266B43">
            <w:pPr>
              <w:pStyle w:val="ListParagraph"/>
              <w:numPr>
                <w:ilvl w:val="0"/>
                <w:numId w:val="38"/>
              </w:numPr>
              <w:spacing w:after="0" w:line="240" w:lineRule="auto"/>
              <w:jc w:val="both"/>
              <w:rPr>
                <w:rFonts w:ascii="Times New Roman" w:eastAsia="Times New Roman" w:hAnsi="Times New Roman" w:cs="Times New Roman"/>
                <w:color w:val="333333"/>
                <w:sz w:val="18"/>
                <w:szCs w:val="18"/>
              </w:rPr>
            </w:pPr>
            <w:r w:rsidRPr="00EA49D6">
              <w:rPr>
                <w:rFonts w:ascii="Times New Roman" w:eastAsia="Times New Roman" w:hAnsi="Times New Roman" w:cs="Times New Roman"/>
                <w:color w:val="333333"/>
                <w:sz w:val="18"/>
                <w:szCs w:val="18"/>
              </w:rPr>
              <w:t>any of the parties to the transaction or series of transactions is simultaneously resident for tax purposes in more than one jurisdiction;</w:t>
            </w:r>
          </w:p>
          <w:p w14:paraId="50F3E303" w14:textId="77777777" w:rsidR="00266B43" w:rsidRPr="00EA49D6" w:rsidRDefault="00266B43" w:rsidP="00266B43">
            <w:pPr>
              <w:jc w:val="both"/>
              <w:rPr>
                <w:rFonts w:ascii="Times New Roman" w:eastAsia="Times New Roman" w:hAnsi="Times New Roman" w:cs="Times New Roman"/>
                <w:color w:val="333333"/>
                <w:sz w:val="18"/>
                <w:szCs w:val="18"/>
              </w:rPr>
            </w:pPr>
          </w:p>
          <w:p w14:paraId="457D98C5" w14:textId="60320FE7" w:rsidR="00266B43" w:rsidRPr="00EA49D6" w:rsidRDefault="00266B43" w:rsidP="00266B43">
            <w:pPr>
              <w:pStyle w:val="ListParagraph"/>
              <w:numPr>
                <w:ilvl w:val="0"/>
                <w:numId w:val="38"/>
              </w:numPr>
              <w:spacing w:after="0" w:line="240" w:lineRule="auto"/>
              <w:jc w:val="both"/>
              <w:rPr>
                <w:rFonts w:ascii="Times New Roman" w:eastAsia="Times New Roman" w:hAnsi="Times New Roman" w:cs="Times New Roman"/>
                <w:color w:val="333333"/>
                <w:sz w:val="18"/>
                <w:szCs w:val="18"/>
              </w:rPr>
            </w:pPr>
            <w:r w:rsidRPr="00EA49D6">
              <w:rPr>
                <w:rFonts w:ascii="Times New Roman" w:eastAsia="Times New Roman" w:hAnsi="Times New Roman" w:cs="Times New Roman"/>
                <w:color w:val="333333"/>
                <w:sz w:val="18"/>
                <w:szCs w:val="18"/>
              </w:rPr>
              <w:t>one of the parties to the transaction or series of transactions carries on business in another jurisdiction through a permanent establishment and the transaction or series of transactions forms part or the whole of the business of the permanent establishment. A cross-border transaction or series of transactions shall also include arrangements made by a person in respect of business activities in another jurisdiction which that person carries on through a permanent establishment; hrs</w:t>
            </w:r>
          </w:p>
          <w:p w14:paraId="7E5A88F1" w14:textId="77777777" w:rsidR="00266B43" w:rsidRPr="00EA49D6" w:rsidRDefault="00266B43" w:rsidP="00266B43">
            <w:pPr>
              <w:jc w:val="both"/>
              <w:rPr>
                <w:rFonts w:ascii="Times New Roman" w:eastAsia="Times New Roman" w:hAnsi="Times New Roman" w:cs="Times New Roman"/>
                <w:color w:val="333333"/>
                <w:sz w:val="18"/>
                <w:szCs w:val="18"/>
              </w:rPr>
            </w:pPr>
          </w:p>
          <w:p w14:paraId="426DD971" w14:textId="77B4623F" w:rsidR="00266B43" w:rsidRPr="00EA49D6" w:rsidRDefault="00266B43" w:rsidP="00266B43">
            <w:pPr>
              <w:pStyle w:val="ListParagraph"/>
              <w:numPr>
                <w:ilvl w:val="0"/>
                <w:numId w:val="38"/>
              </w:numPr>
              <w:spacing w:after="0" w:line="240" w:lineRule="auto"/>
              <w:jc w:val="both"/>
              <w:rPr>
                <w:rFonts w:ascii="Times New Roman" w:eastAsia="Times New Roman" w:hAnsi="Times New Roman" w:cs="Times New Roman"/>
                <w:color w:val="333333"/>
                <w:sz w:val="18"/>
                <w:szCs w:val="18"/>
              </w:rPr>
            </w:pPr>
            <w:r w:rsidRPr="00EA49D6">
              <w:rPr>
                <w:rFonts w:ascii="Times New Roman" w:eastAsia="Times New Roman" w:hAnsi="Times New Roman" w:cs="Times New Roman"/>
                <w:color w:val="333333"/>
                <w:sz w:val="18"/>
                <w:szCs w:val="18"/>
              </w:rPr>
              <w:t>such transactions or series of transactions have a cross border impact.</w:t>
            </w:r>
          </w:p>
          <w:p w14:paraId="0B3BAE27" w14:textId="77777777" w:rsidR="00266B43" w:rsidRPr="00EA49D6" w:rsidRDefault="00266B43" w:rsidP="00266B43">
            <w:pPr>
              <w:jc w:val="both"/>
              <w:rPr>
                <w:rFonts w:ascii="Times New Roman" w:eastAsia="Times New Roman" w:hAnsi="Times New Roman" w:cs="Times New Roman"/>
                <w:color w:val="333333"/>
                <w:sz w:val="18"/>
                <w:szCs w:val="18"/>
              </w:rPr>
            </w:pPr>
          </w:p>
          <w:p w14:paraId="597C2BF6" w14:textId="0B94C971" w:rsidR="003C045B" w:rsidRPr="00EA49D6" w:rsidRDefault="00266B43" w:rsidP="00266B43">
            <w:pPr>
              <w:shd w:val="clear" w:color="auto" w:fill="FFFFFF"/>
              <w:spacing w:before="120"/>
              <w:jc w:val="both"/>
              <w:rPr>
                <w:rFonts w:ascii="Times New Roman" w:eastAsia="Times New Roman" w:hAnsi="Times New Roman" w:cs="Times New Roman"/>
                <w:vanish/>
                <w:color w:val="333333"/>
                <w:sz w:val="18"/>
                <w:szCs w:val="18"/>
              </w:rPr>
            </w:pPr>
            <w:r w:rsidRPr="00EA49D6">
              <w:rPr>
                <w:rFonts w:ascii="Times New Roman" w:eastAsia="Times New Roman" w:hAnsi="Times New Roman" w:cs="Times New Roman"/>
                <w:color w:val="333333"/>
                <w:sz w:val="18"/>
                <w:szCs w:val="18"/>
              </w:rPr>
              <w:t xml:space="preserve">For the purpose of point 15, "cross-border transaction" means a transaction or series of transactions involving associated enterprises which are not all resident for tax purposes in the territory of a single </w:t>
            </w:r>
            <w:r w:rsidRPr="00EA49D6">
              <w:rPr>
                <w:rFonts w:ascii="Times New Roman" w:eastAsia="Times New Roman" w:hAnsi="Times New Roman" w:cs="Times New Roman"/>
                <w:color w:val="333333"/>
                <w:sz w:val="18"/>
                <w:szCs w:val="18"/>
              </w:rPr>
              <w:lastRenderedPageBreak/>
              <w:t>jurisdiction or a transaction or series of transactions which have a cross border impact.</w:t>
            </w:r>
          </w:p>
          <w:p w14:paraId="13191D8A" w14:textId="1253F63D" w:rsidR="003C045B" w:rsidRPr="00EA49D6" w:rsidRDefault="003C045B" w:rsidP="003C045B">
            <w:pPr>
              <w:jc w:val="both"/>
              <w:rPr>
                <w:rFonts w:ascii="Times New Roman" w:eastAsia="Calibri" w:hAnsi="Times New Roman" w:cs="Times New Roman"/>
                <w:iCs/>
                <w:sz w:val="18"/>
                <w:szCs w:val="18"/>
                <w:lang w:val="en-US"/>
              </w:rPr>
            </w:pPr>
          </w:p>
        </w:tc>
        <w:tc>
          <w:tcPr>
            <w:tcW w:w="540" w:type="dxa"/>
          </w:tcPr>
          <w:p w14:paraId="73A9F1D9" w14:textId="3AAB19BF" w:rsidR="003C045B" w:rsidRPr="00EA49D6" w:rsidRDefault="003C045B"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lastRenderedPageBreak/>
              <w:t>1</w:t>
            </w:r>
          </w:p>
        </w:tc>
        <w:tc>
          <w:tcPr>
            <w:tcW w:w="554" w:type="dxa"/>
          </w:tcPr>
          <w:p w14:paraId="36EE66EF" w14:textId="77777777" w:rsidR="0000140B" w:rsidRPr="00EA49D6" w:rsidRDefault="0000140B" w:rsidP="003C045B">
            <w:pPr>
              <w:jc w:val="center"/>
              <w:rPr>
                <w:rFonts w:ascii="Times New Roman" w:eastAsia="Calibri" w:hAnsi="Times New Roman" w:cs="Times New Roman"/>
                <w:sz w:val="18"/>
                <w:szCs w:val="18"/>
                <w:lang w:val="en-US"/>
              </w:rPr>
            </w:pPr>
          </w:p>
          <w:p w14:paraId="16B43562" w14:textId="126139AD"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Article 2</w:t>
            </w:r>
          </w:p>
        </w:tc>
        <w:tc>
          <w:tcPr>
            <w:tcW w:w="5040" w:type="dxa"/>
            <w:tcBorders>
              <w:bottom w:val="dashed" w:sz="4" w:space="0" w:color="auto"/>
            </w:tcBorders>
          </w:tcPr>
          <w:p w14:paraId="3A55920D" w14:textId="73B0B916" w:rsidR="00D827AD" w:rsidRPr="00EA49D6" w:rsidRDefault="00D827AD" w:rsidP="00A235BE">
            <w:pPr>
              <w:jc w:val="center"/>
              <w:rPr>
                <w:rFonts w:ascii="Times New Roman" w:hAnsi="Times New Roman" w:cs="Times New Roman"/>
                <w:b/>
                <w:color w:val="000000" w:themeColor="text1"/>
                <w:sz w:val="18"/>
                <w:szCs w:val="18"/>
              </w:rPr>
            </w:pPr>
            <w:r w:rsidRPr="00EA49D6">
              <w:rPr>
                <w:rFonts w:ascii="Times New Roman" w:hAnsi="Times New Roman" w:cs="Times New Roman"/>
                <w:b/>
                <w:color w:val="000000" w:themeColor="text1"/>
                <w:sz w:val="18"/>
                <w:szCs w:val="18"/>
              </w:rPr>
              <w:t>Article 2</w:t>
            </w:r>
          </w:p>
          <w:p w14:paraId="122FE17D" w14:textId="7FD0CB18" w:rsidR="003C045B" w:rsidRPr="00EA49D6" w:rsidRDefault="00D827AD" w:rsidP="00A235BE">
            <w:pPr>
              <w:jc w:val="center"/>
              <w:rPr>
                <w:rFonts w:ascii="Times New Roman" w:hAnsi="Times New Roman" w:cs="Times New Roman"/>
                <w:b/>
                <w:color w:val="000000" w:themeColor="text1"/>
                <w:sz w:val="18"/>
                <w:szCs w:val="18"/>
              </w:rPr>
            </w:pPr>
            <w:r w:rsidRPr="00EA49D6">
              <w:rPr>
                <w:rFonts w:ascii="Times New Roman" w:hAnsi="Times New Roman" w:cs="Times New Roman"/>
                <w:b/>
                <w:color w:val="000000" w:themeColor="text1"/>
                <w:sz w:val="18"/>
                <w:szCs w:val="18"/>
              </w:rPr>
              <w:t>Definitions</w:t>
            </w:r>
          </w:p>
          <w:p w14:paraId="513E8A20" w14:textId="77777777" w:rsidR="00D827AD" w:rsidRPr="00EA49D6" w:rsidRDefault="00D827AD" w:rsidP="00A235BE">
            <w:pPr>
              <w:jc w:val="center"/>
              <w:rPr>
                <w:rFonts w:ascii="Times New Roman" w:hAnsi="Times New Roman" w:cs="Times New Roman"/>
                <w:color w:val="000000" w:themeColor="text1"/>
                <w:sz w:val="18"/>
                <w:szCs w:val="18"/>
              </w:rPr>
            </w:pPr>
          </w:p>
          <w:p w14:paraId="737F2B04" w14:textId="15794A6C" w:rsidR="00D827AD" w:rsidRPr="00EA49D6" w:rsidRDefault="00D827AD" w:rsidP="00D827AD">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8. Cross-border transaction means:</w:t>
            </w:r>
          </w:p>
          <w:p w14:paraId="70A223AC" w14:textId="46FED7CD" w:rsidR="00D827AD" w:rsidRPr="00EA49D6" w:rsidRDefault="00D827AD" w:rsidP="00D827AD">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For the purpose of the term "</w:t>
            </w:r>
            <w:r w:rsidR="00D732B4" w:rsidRPr="00EA49D6">
              <w:rPr>
                <w:rFonts w:ascii="Times New Roman" w:eastAsia="Calibri" w:hAnsi="Times New Roman" w:cs="Times New Roman"/>
                <w:sz w:val="18"/>
                <w:szCs w:val="18"/>
              </w:rPr>
              <w:t xml:space="preserve"> Advance </w:t>
            </w:r>
            <w:r w:rsidRPr="00EA49D6">
              <w:rPr>
                <w:rFonts w:ascii="Times New Roman" w:eastAsia="Calibri" w:hAnsi="Times New Roman" w:cs="Times New Roman"/>
                <w:sz w:val="18"/>
                <w:szCs w:val="18"/>
              </w:rPr>
              <w:t>Cross-border ruling" - a transaction or series of transactions where:</w:t>
            </w:r>
          </w:p>
          <w:p w14:paraId="173F7AFE" w14:textId="6E7A5CD3" w:rsidR="00D827AD" w:rsidRPr="00EA49D6" w:rsidRDefault="00D827AD" w:rsidP="00D827AD">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a) not all parties to the transaction or series of transactions are resident for tax purposes in the Republic of Albania where the advance cross-border ruling is issued, amended or renewed;</w:t>
            </w:r>
          </w:p>
          <w:p w14:paraId="795E1F56" w14:textId="6747F9B2" w:rsidR="00D827AD" w:rsidRPr="00EA49D6" w:rsidRDefault="00D827AD" w:rsidP="00D827AD">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 xml:space="preserve">b) </w:t>
            </w:r>
            <w:r w:rsidR="00D732B4" w:rsidRPr="00EA49D6">
              <w:rPr>
                <w:rFonts w:ascii="Times New Roman" w:eastAsia="Calibri" w:hAnsi="Times New Roman" w:cs="Times New Roman"/>
                <w:sz w:val="18"/>
                <w:szCs w:val="18"/>
              </w:rPr>
              <w:t>any</w:t>
            </w:r>
            <w:r w:rsidRPr="00EA49D6">
              <w:rPr>
                <w:rFonts w:ascii="Times New Roman" w:eastAsia="Calibri" w:hAnsi="Times New Roman" w:cs="Times New Roman"/>
                <w:sz w:val="18"/>
                <w:szCs w:val="18"/>
              </w:rPr>
              <w:t xml:space="preserve"> of the parties to the transaction or series of transactions is simultaneously resident for tax purposes in the Republic of Albania and in more than one jurisdiction;</w:t>
            </w:r>
          </w:p>
          <w:p w14:paraId="2AE527DF" w14:textId="4F4302FF" w:rsidR="00D827AD" w:rsidRPr="00EA49D6" w:rsidRDefault="00D827AD" w:rsidP="00D827AD">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c) One of the parties to the transaction or series of transactions carries on business in another jurisdiction through a permanent establishment and the transaction or series of transactions constitute part or all of the business of the permanent establishment. A cross-border transaction or series of transactions also includes measures taken by a person in connection with business activities in another jurisdiction which he carries on through a permanent establishment; or</w:t>
            </w:r>
          </w:p>
          <w:p w14:paraId="343752C8" w14:textId="58D6C89A" w:rsidR="00D827AD" w:rsidRPr="00EA49D6" w:rsidRDefault="00D827AD" w:rsidP="00D827AD">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d) such transactions or series of transactions have a cross-border impact.</w:t>
            </w:r>
          </w:p>
          <w:p w14:paraId="496F820C" w14:textId="77777777" w:rsidR="00D827AD" w:rsidRPr="00EA49D6" w:rsidRDefault="00D827AD" w:rsidP="00D827AD">
            <w:pPr>
              <w:jc w:val="both"/>
              <w:rPr>
                <w:rFonts w:ascii="Times New Roman" w:eastAsia="Calibri" w:hAnsi="Times New Roman" w:cs="Times New Roman"/>
                <w:sz w:val="18"/>
                <w:szCs w:val="18"/>
              </w:rPr>
            </w:pPr>
          </w:p>
          <w:p w14:paraId="05CBA041" w14:textId="3B20904C" w:rsidR="003C045B" w:rsidRPr="00EA49D6" w:rsidRDefault="00D827AD" w:rsidP="00D827AD">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 xml:space="preserve">For the purpose of the term "Advance Pricing Agreement (APA)" </w:t>
            </w:r>
            <w:r w:rsidR="00D732B4" w:rsidRPr="00EA49D6">
              <w:rPr>
                <w:rFonts w:ascii="Times New Roman" w:eastAsia="Calibri" w:hAnsi="Times New Roman" w:cs="Times New Roman"/>
                <w:sz w:val="18"/>
                <w:szCs w:val="18"/>
              </w:rPr>
              <w:t>–</w:t>
            </w:r>
            <w:r w:rsidRPr="00EA49D6">
              <w:rPr>
                <w:rFonts w:ascii="Times New Roman" w:eastAsia="Calibri" w:hAnsi="Times New Roman" w:cs="Times New Roman"/>
                <w:sz w:val="18"/>
                <w:szCs w:val="18"/>
              </w:rPr>
              <w:t xml:space="preserve"> </w:t>
            </w:r>
            <w:r w:rsidR="00D732B4" w:rsidRPr="00EA49D6">
              <w:rPr>
                <w:rFonts w:ascii="Times New Roman" w:eastAsia="Calibri" w:hAnsi="Times New Roman" w:cs="Times New Roman"/>
                <w:sz w:val="18"/>
                <w:szCs w:val="18"/>
              </w:rPr>
              <w:t xml:space="preserve">means </w:t>
            </w:r>
            <w:r w:rsidRPr="00EA49D6">
              <w:rPr>
                <w:rFonts w:ascii="Times New Roman" w:eastAsia="Calibri" w:hAnsi="Times New Roman" w:cs="Times New Roman"/>
                <w:sz w:val="18"/>
                <w:szCs w:val="18"/>
              </w:rPr>
              <w:t xml:space="preserve">a transaction or series of transactions involving related enterprises that are not all resident for tax purposes in the territory </w:t>
            </w:r>
            <w:r w:rsidRPr="00EA49D6">
              <w:rPr>
                <w:rFonts w:ascii="Times New Roman" w:eastAsia="Calibri" w:hAnsi="Times New Roman" w:cs="Times New Roman"/>
                <w:sz w:val="18"/>
                <w:szCs w:val="18"/>
              </w:rPr>
              <w:lastRenderedPageBreak/>
              <w:t>of a single jurisdiction or a transaction or series of transactions that have a cross-border impact;</w:t>
            </w:r>
          </w:p>
        </w:tc>
        <w:tc>
          <w:tcPr>
            <w:tcW w:w="720" w:type="dxa"/>
            <w:tcBorders>
              <w:bottom w:val="dashed" w:sz="4" w:space="0" w:color="auto"/>
            </w:tcBorders>
          </w:tcPr>
          <w:p w14:paraId="6FCF9030" w14:textId="7E85D828" w:rsidR="003C045B" w:rsidRPr="00EA49D6" w:rsidRDefault="003C045B"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lastRenderedPageBreak/>
              <w:t>F</w:t>
            </w:r>
          </w:p>
        </w:tc>
        <w:tc>
          <w:tcPr>
            <w:tcW w:w="3406" w:type="dxa"/>
            <w:tcBorders>
              <w:bottom w:val="dashed" w:sz="4" w:space="0" w:color="auto"/>
            </w:tcBorders>
          </w:tcPr>
          <w:p w14:paraId="08DB7295" w14:textId="67880360" w:rsidR="003C045B" w:rsidRPr="00EA49D6" w:rsidRDefault="003C045B" w:rsidP="003C045B">
            <w:pPr>
              <w:rPr>
                <w:rFonts w:ascii="Times New Roman" w:eastAsia="Calibri" w:hAnsi="Times New Roman" w:cs="Times New Roman"/>
                <w:sz w:val="18"/>
                <w:szCs w:val="18"/>
                <w:lang w:val="en-US"/>
              </w:rPr>
            </w:pPr>
          </w:p>
        </w:tc>
      </w:tr>
      <w:tr w:rsidR="003C045B" w:rsidRPr="00EA49D6" w14:paraId="7D4505B4" w14:textId="77777777" w:rsidTr="003675BD">
        <w:trPr>
          <w:trHeight w:val="645"/>
        </w:trPr>
        <w:tc>
          <w:tcPr>
            <w:tcW w:w="540" w:type="dxa"/>
          </w:tcPr>
          <w:p w14:paraId="1080D9D2" w14:textId="139AC4B4" w:rsidR="003C045B" w:rsidRPr="00EA49D6" w:rsidRDefault="003C045B" w:rsidP="003C045B">
            <w:pPr>
              <w:jc w:val="both"/>
              <w:rPr>
                <w:rFonts w:ascii="Times New Roman" w:eastAsia="Calibri" w:hAnsi="Times New Roman" w:cs="Times New Roman"/>
                <w:sz w:val="18"/>
                <w:szCs w:val="18"/>
                <w:lang w:val="en-US"/>
              </w:rPr>
            </w:pPr>
          </w:p>
        </w:tc>
        <w:tc>
          <w:tcPr>
            <w:tcW w:w="5400" w:type="dxa"/>
          </w:tcPr>
          <w:p w14:paraId="0BD9C8E3" w14:textId="579D075B" w:rsidR="00B02FF5" w:rsidRPr="00EA49D6" w:rsidRDefault="00266B43" w:rsidP="009E0C89">
            <w:pPr>
              <w:rPr>
                <w:rFonts w:ascii="Times New Roman" w:hAnsi="Times New Roman" w:cs="Times New Roman"/>
                <w:sz w:val="18"/>
                <w:szCs w:val="18"/>
              </w:rPr>
            </w:pPr>
            <w:r w:rsidRPr="00EA49D6">
              <w:rPr>
                <w:rFonts w:ascii="Times New Roman" w:hAnsi="Times New Roman" w:cs="Times New Roman"/>
                <w:sz w:val="18"/>
                <w:szCs w:val="18"/>
              </w:rPr>
              <w:t>17. For the purpose of point 15 and 16, "enterprise" means any form of conducting business.';</w:t>
            </w:r>
          </w:p>
          <w:p w14:paraId="61E278E6" w14:textId="52455E2D" w:rsidR="00B02FF5" w:rsidRPr="00EA49D6" w:rsidRDefault="00B02FF5" w:rsidP="00462F38">
            <w:pPr>
              <w:rPr>
                <w:rFonts w:ascii="Times New Roman" w:hAnsi="Times New Roman" w:cs="Times New Roman"/>
                <w:vanish/>
                <w:sz w:val="18"/>
                <w:szCs w:val="18"/>
              </w:rPr>
            </w:pPr>
          </w:p>
          <w:p w14:paraId="3A31154C" w14:textId="6A5680DE" w:rsidR="003C045B" w:rsidRPr="00EA49D6" w:rsidRDefault="003C045B" w:rsidP="003C045B">
            <w:pPr>
              <w:jc w:val="both"/>
              <w:rPr>
                <w:rFonts w:ascii="Times New Roman" w:eastAsia="Calibri" w:hAnsi="Times New Roman" w:cs="Times New Roman"/>
                <w:iCs/>
                <w:sz w:val="18"/>
                <w:szCs w:val="18"/>
                <w:lang w:val="en-US"/>
              </w:rPr>
            </w:pPr>
          </w:p>
        </w:tc>
        <w:tc>
          <w:tcPr>
            <w:tcW w:w="540" w:type="dxa"/>
          </w:tcPr>
          <w:p w14:paraId="68273547" w14:textId="0F3E768C" w:rsidR="003C045B" w:rsidRPr="00EA49D6" w:rsidRDefault="003C045B" w:rsidP="003C045B">
            <w:pPr>
              <w:jc w:val="center"/>
              <w:rPr>
                <w:rFonts w:ascii="Times New Roman" w:eastAsia="Calibri" w:hAnsi="Times New Roman" w:cs="Times New Roman"/>
                <w:sz w:val="18"/>
                <w:szCs w:val="18"/>
              </w:rPr>
            </w:pPr>
          </w:p>
        </w:tc>
        <w:tc>
          <w:tcPr>
            <w:tcW w:w="554" w:type="dxa"/>
          </w:tcPr>
          <w:p w14:paraId="6E16AAE5" w14:textId="77777777" w:rsidR="0000140B" w:rsidRPr="00EA49D6" w:rsidRDefault="0000140B" w:rsidP="003C045B">
            <w:pPr>
              <w:jc w:val="center"/>
              <w:rPr>
                <w:rFonts w:ascii="Times New Roman" w:eastAsia="Calibri" w:hAnsi="Times New Roman" w:cs="Times New Roman"/>
                <w:sz w:val="18"/>
                <w:szCs w:val="18"/>
                <w:lang w:val="en-US"/>
              </w:rPr>
            </w:pPr>
          </w:p>
          <w:p w14:paraId="217830CF" w14:textId="3FC47058"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Article 2</w:t>
            </w:r>
          </w:p>
        </w:tc>
        <w:tc>
          <w:tcPr>
            <w:tcW w:w="5040" w:type="dxa"/>
            <w:tcBorders>
              <w:bottom w:val="dashed" w:sz="4" w:space="0" w:color="auto"/>
            </w:tcBorders>
          </w:tcPr>
          <w:p w14:paraId="2B8C02BE" w14:textId="245A7346" w:rsidR="00EC4617" w:rsidRPr="00EA49D6" w:rsidRDefault="00EC4617" w:rsidP="00EC4617">
            <w:pPr>
              <w:jc w:val="center"/>
              <w:rPr>
                <w:rFonts w:ascii="Times New Roman" w:hAnsi="Times New Roman" w:cs="Times New Roman"/>
                <w:b/>
                <w:sz w:val="18"/>
                <w:szCs w:val="18"/>
              </w:rPr>
            </w:pPr>
            <w:r w:rsidRPr="00EA49D6">
              <w:rPr>
                <w:rFonts w:ascii="Times New Roman" w:hAnsi="Times New Roman" w:cs="Times New Roman"/>
                <w:b/>
                <w:sz w:val="18"/>
                <w:szCs w:val="18"/>
              </w:rPr>
              <w:t>Article 2</w:t>
            </w:r>
          </w:p>
          <w:p w14:paraId="3551F616" w14:textId="77777777" w:rsidR="00EC4617" w:rsidRPr="00EA49D6" w:rsidRDefault="00EC4617" w:rsidP="00EC4617">
            <w:pPr>
              <w:jc w:val="center"/>
              <w:rPr>
                <w:rFonts w:ascii="Times New Roman" w:hAnsi="Times New Roman" w:cs="Times New Roman"/>
                <w:b/>
                <w:sz w:val="18"/>
                <w:szCs w:val="18"/>
              </w:rPr>
            </w:pPr>
            <w:r w:rsidRPr="00EA49D6">
              <w:rPr>
                <w:rFonts w:ascii="Times New Roman" w:hAnsi="Times New Roman" w:cs="Times New Roman"/>
                <w:b/>
                <w:sz w:val="18"/>
                <w:szCs w:val="18"/>
              </w:rPr>
              <w:t>Definitions</w:t>
            </w:r>
          </w:p>
          <w:p w14:paraId="64967AA6" w14:textId="77777777" w:rsidR="00EC4617" w:rsidRPr="00EA49D6" w:rsidRDefault="00EC4617" w:rsidP="00462F38">
            <w:pPr>
              <w:jc w:val="both"/>
              <w:rPr>
                <w:rFonts w:ascii="Times New Roman" w:eastAsia="Calibri" w:hAnsi="Times New Roman" w:cs="Times New Roman"/>
                <w:sz w:val="18"/>
                <w:szCs w:val="18"/>
              </w:rPr>
            </w:pPr>
          </w:p>
          <w:p w14:paraId="1AF536FD" w14:textId="6928D365" w:rsidR="00A25B73" w:rsidRPr="00EA49D6" w:rsidRDefault="009E0C89" w:rsidP="00462F38">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7. Enterprises are linked enterprises where one enterprise participates directly or indirectly in the management, control or capital of another enterprise or the same persons participate directly or indirectly in the management, control or capital of the enterprises.</w:t>
            </w:r>
          </w:p>
        </w:tc>
        <w:tc>
          <w:tcPr>
            <w:tcW w:w="720" w:type="dxa"/>
            <w:tcBorders>
              <w:bottom w:val="dashed" w:sz="4" w:space="0" w:color="auto"/>
            </w:tcBorders>
          </w:tcPr>
          <w:p w14:paraId="4C4B4DD1" w14:textId="54EC29F6" w:rsidR="003C045B" w:rsidRPr="00EA49D6" w:rsidRDefault="003C045B"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F</w:t>
            </w:r>
          </w:p>
        </w:tc>
        <w:tc>
          <w:tcPr>
            <w:tcW w:w="3406" w:type="dxa"/>
            <w:tcBorders>
              <w:bottom w:val="dashed" w:sz="4" w:space="0" w:color="auto"/>
            </w:tcBorders>
          </w:tcPr>
          <w:p w14:paraId="7FF536D2" w14:textId="30131ECC" w:rsidR="003C045B" w:rsidRPr="00EA49D6" w:rsidRDefault="003C045B" w:rsidP="003C045B">
            <w:pPr>
              <w:rPr>
                <w:rFonts w:ascii="Times New Roman" w:eastAsia="Calibri" w:hAnsi="Times New Roman" w:cs="Times New Roman"/>
                <w:sz w:val="18"/>
                <w:szCs w:val="18"/>
                <w:lang w:val="en-US"/>
              </w:rPr>
            </w:pPr>
          </w:p>
        </w:tc>
      </w:tr>
      <w:tr w:rsidR="003C045B" w:rsidRPr="00EA49D6" w14:paraId="176342C5" w14:textId="77777777" w:rsidTr="003675BD">
        <w:tc>
          <w:tcPr>
            <w:tcW w:w="540" w:type="dxa"/>
            <w:shd w:val="clear" w:color="auto" w:fill="D0CECE" w:themeFill="background2" w:themeFillShade="E6"/>
          </w:tcPr>
          <w:p w14:paraId="5BF8CE7D" w14:textId="4193C503" w:rsidR="003C045B" w:rsidRPr="00EA49D6" w:rsidRDefault="003C045B" w:rsidP="003C045B">
            <w:pPr>
              <w:jc w:val="both"/>
              <w:rPr>
                <w:rFonts w:ascii="Times New Roman" w:eastAsia="Calibri" w:hAnsi="Times New Roman" w:cs="Times New Roman"/>
                <w:sz w:val="18"/>
                <w:szCs w:val="18"/>
                <w:lang w:val="en-US"/>
              </w:rPr>
            </w:pPr>
          </w:p>
        </w:tc>
        <w:tc>
          <w:tcPr>
            <w:tcW w:w="5400" w:type="dxa"/>
            <w:shd w:val="clear" w:color="auto" w:fill="D0CECE" w:themeFill="background2" w:themeFillShade="E6"/>
          </w:tcPr>
          <w:p w14:paraId="4514ECF7" w14:textId="77777777" w:rsidR="00266B43" w:rsidRPr="00EA49D6" w:rsidRDefault="00266B43" w:rsidP="00266B43">
            <w:pPr>
              <w:jc w:val="center"/>
              <w:rPr>
                <w:rFonts w:ascii="Times New Roman" w:eastAsia="Calibri" w:hAnsi="Times New Roman" w:cs="Times New Roman"/>
                <w:iCs/>
                <w:sz w:val="18"/>
                <w:szCs w:val="18"/>
                <w:lang w:val="en-US"/>
              </w:rPr>
            </w:pPr>
          </w:p>
          <w:p w14:paraId="29830783" w14:textId="77777777" w:rsidR="00266B43" w:rsidRPr="00EA49D6" w:rsidRDefault="00266B43" w:rsidP="00266B43">
            <w:pPr>
              <w:jc w:val="center"/>
              <w:rPr>
                <w:rFonts w:ascii="Times New Roman" w:eastAsia="Calibri" w:hAnsi="Times New Roman" w:cs="Times New Roman"/>
                <w:iCs/>
                <w:sz w:val="18"/>
                <w:szCs w:val="18"/>
                <w:lang w:val="en-US"/>
              </w:rPr>
            </w:pPr>
          </w:p>
          <w:p w14:paraId="1867C0A5" w14:textId="77777777" w:rsidR="001C7741" w:rsidRPr="00EA49D6" w:rsidRDefault="001C7741" w:rsidP="00266B43">
            <w:pPr>
              <w:jc w:val="center"/>
              <w:rPr>
                <w:rFonts w:ascii="Times New Roman" w:eastAsia="Calibri" w:hAnsi="Times New Roman" w:cs="Times New Roman"/>
                <w:b/>
                <w:iCs/>
                <w:sz w:val="18"/>
                <w:szCs w:val="18"/>
                <w:lang w:val="en-US"/>
              </w:rPr>
            </w:pPr>
          </w:p>
          <w:p w14:paraId="092A4743" w14:textId="77777777" w:rsidR="001C7741" w:rsidRPr="00EA49D6" w:rsidRDefault="001C7741" w:rsidP="00266B43">
            <w:pPr>
              <w:jc w:val="center"/>
              <w:rPr>
                <w:rFonts w:ascii="Times New Roman" w:eastAsia="Calibri" w:hAnsi="Times New Roman" w:cs="Times New Roman"/>
                <w:b/>
                <w:iCs/>
                <w:sz w:val="18"/>
                <w:szCs w:val="18"/>
                <w:lang w:val="en-US"/>
              </w:rPr>
            </w:pPr>
          </w:p>
          <w:p w14:paraId="0B999ED7" w14:textId="35FC8080" w:rsidR="00266B43" w:rsidRPr="00EA49D6" w:rsidRDefault="00266B43" w:rsidP="001C7741">
            <w:pPr>
              <w:jc w:val="center"/>
              <w:rPr>
                <w:rFonts w:ascii="Times New Roman" w:eastAsia="Calibri" w:hAnsi="Times New Roman" w:cs="Times New Roman"/>
                <w:b/>
                <w:iCs/>
                <w:sz w:val="18"/>
                <w:szCs w:val="18"/>
                <w:lang w:val="en-US"/>
              </w:rPr>
            </w:pPr>
            <w:r w:rsidRPr="00EA49D6">
              <w:rPr>
                <w:rFonts w:ascii="Times New Roman" w:eastAsia="Calibri" w:hAnsi="Times New Roman" w:cs="Times New Roman"/>
                <w:b/>
                <w:iCs/>
                <w:sz w:val="18"/>
                <w:szCs w:val="18"/>
                <w:lang w:val="en-US"/>
              </w:rPr>
              <w:t>Article 8a</w:t>
            </w:r>
          </w:p>
          <w:p w14:paraId="7316743D" w14:textId="1F6F5DF2" w:rsidR="003C045B" w:rsidRPr="00EA49D6" w:rsidRDefault="00266B43" w:rsidP="00266B43">
            <w:pPr>
              <w:jc w:val="center"/>
              <w:rPr>
                <w:rFonts w:ascii="Times New Roman" w:eastAsia="Calibri" w:hAnsi="Times New Roman" w:cs="Times New Roman"/>
                <w:iCs/>
                <w:sz w:val="18"/>
                <w:szCs w:val="18"/>
                <w:lang w:val="en-US"/>
              </w:rPr>
            </w:pPr>
            <w:r w:rsidRPr="00EA49D6">
              <w:rPr>
                <w:rFonts w:ascii="Times New Roman" w:eastAsia="Calibri" w:hAnsi="Times New Roman" w:cs="Times New Roman"/>
                <w:b/>
                <w:iCs/>
                <w:sz w:val="18"/>
                <w:szCs w:val="18"/>
                <w:lang w:val="en-US"/>
              </w:rPr>
              <w:t>Scope and conditions of mandatory automatic exchange of information on advance cross-border rulings and advance pricing arrangements</w:t>
            </w:r>
          </w:p>
        </w:tc>
        <w:tc>
          <w:tcPr>
            <w:tcW w:w="540" w:type="dxa"/>
            <w:shd w:val="clear" w:color="auto" w:fill="D0CECE" w:themeFill="background2" w:themeFillShade="E6"/>
          </w:tcPr>
          <w:p w14:paraId="3480EEE0" w14:textId="1312C375" w:rsidR="003C045B" w:rsidRPr="00EA49D6" w:rsidRDefault="003C045B" w:rsidP="003C045B">
            <w:pPr>
              <w:jc w:val="center"/>
              <w:rPr>
                <w:rFonts w:ascii="Times New Roman" w:eastAsia="Calibri" w:hAnsi="Times New Roman" w:cs="Times New Roman"/>
                <w:i/>
                <w:iCs/>
                <w:sz w:val="18"/>
                <w:szCs w:val="18"/>
              </w:rPr>
            </w:pPr>
          </w:p>
        </w:tc>
        <w:tc>
          <w:tcPr>
            <w:tcW w:w="554" w:type="dxa"/>
            <w:shd w:val="clear" w:color="auto" w:fill="D0CECE" w:themeFill="background2" w:themeFillShade="E6"/>
          </w:tcPr>
          <w:p w14:paraId="355EA527" w14:textId="41C73A42" w:rsidR="003C045B" w:rsidRPr="00EA49D6" w:rsidRDefault="003C045B" w:rsidP="003C045B">
            <w:pPr>
              <w:jc w:val="center"/>
              <w:rPr>
                <w:rFonts w:ascii="Times New Roman" w:eastAsia="Calibri" w:hAnsi="Times New Roman" w:cs="Times New Roman"/>
                <w:i/>
                <w:iCs/>
                <w:sz w:val="18"/>
                <w:szCs w:val="18"/>
                <w:lang w:val="en-US"/>
              </w:rPr>
            </w:pPr>
          </w:p>
        </w:tc>
        <w:tc>
          <w:tcPr>
            <w:tcW w:w="5040" w:type="dxa"/>
            <w:shd w:val="clear" w:color="auto" w:fill="D0CECE" w:themeFill="background2" w:themeFillShade="E6"/>
          </w:tcPr>
          <w:p w14:paraId="0AF2ABED" w14:textId="031C9D9F" w:rsidR="003C045B" w:rsidRPr="00EA49D6" w:rsidRDefault="003C045B" w:rsidP="003C045B">
            <w:pPr>
              <w:rPr>
                <w:rFonts w:ascii="Times New Roman" w:hAnsi="Times New Roman" w:cs="Times New Roman"/>
                <w:i/>
                <w:iCs/>
                <w:sz w:val="18"/>
                <w:szCs w:val="18"/>
              </w:rPr>
            </w:pPr>
          </w:p>
        </w:tc>
        <w:tc>
          <w:tcPr>
            <w:tcW w:w="720" w:type="dxa"/>
            <w:shd w:val="clear" w:color="auto" w:fill="D0CECE" w:themeFill="background2" w:themeFillShade="E6"/>
          </w:tcPr>
          <w:p w14:paraId="1ABA6603" w14:textId="3378F120" w:rsidR="003C045B" w:rsidRPr="00EA49D6" w:rsidRDefault="003C045B" w:rsidP="003C045B">
            <w:pPr>
              <w:jc w:val="center"/>
              <w:rPr>
                <w:rFonts w:ascii="Times New Roman" w:eastAsia="Calibri" w:hAnsi="Times New Roman" w:cs="Times New Roman"/>
                <w:i/>
                <w:iCs/>
                <w:sz w:val="18"/>
                <w:szCs w:val="18"/>
                <w:lang w:val="en-US"/>
              </w:rPr>
            </w:pPr>
          </w:p>
        </w:tc>
        <w:tc>
          <w:tcPr>
            <w:tcW w:w="3406" w:type="dxa"/>
            <w:shd w:val="clear" w:color="auto" w:fill="D0CECE" w:themeFill="background2" w:themeFillShade="E6"/>
          </w:tcPr>
          <w:p w14:paraId="7BE83C6E" w14:textId="07D4A64D" w:rsidR="003C045B" w:rsidRPr="00EA49D6" w:rsidRDefault="003C045B" w:rsidP="003C045B">
            <w:pPr>
              <w:rPr>
                <w:rFonts w:ascii="Times New Roman" w:eastAsia="Calibri" w:hAnsi="Times New Roman" w:cs="Times New Roman"/>
                <w:i/>
                <w:iCs/>
                <w:sz w:val="18"/>
                <w:szCs w:val="18"/>
                <w:lang w:val="en-US"/>
              </w:rPr>
            </w:pPr>
          </w:p>
        </w:tc>
      </w:tr>
      <w:tr w:rsidR="003C045B" w:rsidRPr="00EA49D6" w14:paraId="05E7A252" w14:textId="77777777" w:rsidTr="003675BD">
        <w:trPr>
          <w:trHeight w:val="870"/>
        </w:trPr>
        <w:tc>
          <w:tcPr>
            <w:tcW w:w="540" w:type="dxa"/>
          </w:tcPr>
          <w:p w14:paraId="56054E51" w14:textId="1549FBFD" w:rsidR="003C045B" w:rsidRPr="00EA49D6" w:rsidRDefault="003C045B" w:rsidP="003C045B">
            <w:pPr>
              <w:jc w:val="both"/>
              <w:rPr>
                <w:rFonts w:ascii="Times New Roman" w:eastAsia="Calibri" w:hAnsi="Times New Roman" w:cs="Times New Roman"/>
                <w:sz w:val="18"/>
                <w:szCs w:val="18"/>
                <w:lang w:val="en-US"/>
              </w:rPr>
            </w:pPr>
          </w:p>
        </w:tc>
        <w:tc>
          <w:tcPr>
            <w:tcW w:w="5400" w:type="dxa"/>
          </w:tcPr>
          <w:p w14:paraId="7CA0C0DA" w14:textId="77777777" w:rsidR="0000140B" w:rsidRPr="00EA49D6" w:rsidRDefault="0000140B" w:rsidP="00A235BE">
            <w:pPr>
              <w:jc w:val="both"/>
              <w:rPr>
                <w:rFonts w:ascii="Times New Roman" w:eastAsia="Calibri" w:hAnsi="Times New Roman" w:cs="Times New Roman"/>
                <w:iCs/>
                <w:sz w:val="18"/>
                <w:szCs w:val="18"/>
                <w:lang w:val="en-US"/>
              </w:rPr>
            </w:pPr>
          </w:p>
          <w:p w14:paraId="249A4F98" w14:textId="76462906" w:rsidR="003C045B" w:rsidRPr="00EA49D6" w:rsidRDefault="00591577" w:rsidP="00A235BE">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t>1. The competent authority of a Member State, where an advance cross-border ruling or an advance pricing arrangement was issued, amended or renewed after 31 December 2016 shall, by automatic exchange, communicate information thereon to the competent authorities of all other Member States as well as to the European Commission, with the limitation of cases set out in paragraph 8 of this Article, in accordance with applicable practical arrangements adopted pursuant to Article 21.</w:t>
            </w:r>
          </w:p>
        </w:tc>
        <w:tc>
          <w:tcPr>
            <w:tcW w:w="540" w:type="dxa"/>
          </w:tcPr>
          <w:p w14:paraId="59B66D4C" w14:textId="00B84A40" w:rsidR="003C045B" w:rsidRPr="00EA49D6" w:rsidRDefault="003C045B" w:rsidP="00A235BE">
            <w:pPr>
              <w:jc w:val="both"/>
              <w:rPr>
                <w:rFonts w:ascii="Times New Roman" w:eastAsia="Calibri" w:hAnsi="Times New Roman" w:cs="Times New Roman"/>
                <w:sz w:val="18"/>
                <w:szCs w:val="18"/>
              </w:rPr>
            </w:pPr>
          </w:p>
        </w:tc>
        <w:tc>
          <w:tcPr>
            <w:tcW w:w="554" w:type="dxa"/>
          </w:tcPr>
          <w:p w14:paraId="5ABADC9F" w14:textId="5E42B271" w:rsidR="003C045B" w:rsidRPr="00EA49D6" w:rsidRDefault="0000140B"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 xml:space="preserve"> </w:t>
            </w:r>
            <w:r w:rsidR="00EC4617" w:rsidRPr="00EA49D6">
              <w:rPr>
                <w:rFonts w:ascii="Times New Roman" w:eastAsia="Calibri" w:hAnsi="Times New Roman" w:cs="Times New Roman"/>
                <w:sz w:val="18"/>
                <w:szCs w:val="18"/>
                <w:lang w:val="en-US"/>
              </w:rPr>
              <w:t>Articles 1 and 6</w:t>
            </w:r>
          </w:p>
        </w:tc>
        <w:tc>
          <w:tcPr>
            <w:tcW w:w="5040" w:type="dxa"/>
            <w:tcBorders>
              <w:bottom w:val="dashed" w:sz="4" w:space="0" w:color="auto"/>
            </w:tcBorders>
          </w:tcPr>
          <w:p w14:paraId="23A5013C" w14:textId="77777777" w:rsidR="00A9181F" w:rsidRPr="00EA49D6" w:rsidRDefault="003C045B" w:rsidP="00A9181F">
            <w:pPr>
              <w:jc w:val="center"/>
              <w:rPr>
                <w:rFonts w:ascii="Times New Roman" w:hAnsi="Times New Roman" w:cs="Times New Roman"/>
                <w:b/>
                <w:sz w:val="18"/>
                <w:szCs w:val="18"/>
              </w:rPr>
            </w:pPr>
            <w:r w:rsidRPr="00EA49D6">
              <w:rPr>
                <w:rFonts w:ascii="Times New Roman" w:hAnsi="Times New Roman" w:cs="Times New Roman"/>
                <w:sz w:val="18"/>
                <w:szCs w:val="18"/>
              </w:rPr>
              <w:br/>
            </w:r>
            <w:r w:rsidR="00A9181F" w:rsidRPr="00EA49D6">
              <w:rPr>
                <w:rFonts w:ascii="Times New Roman" w:hAnsi="Times New Roman" w:cs="Times New Roman"/>
                <w:b/>
                <w:sz w:val="18"/>
                <w:szCs w:val="18"/>
              </w:rPr>
              <w:t>Article 1</w:t>
            </w:r>
          </w:p>
          <w:p w14:paraId="0C2D3218" w14:textId="77777777" w:rsidR="00A9181F" w:rsidRPr="00EA49D6" w:rsidRDefault="00A9181F" w:rsidP="00A9181F">
            <w:pPr>
              <w:jc w:val="center"/>
              <w:rPr>
                <w:rFonts w:ascii="Times New Roman" w:hAnsi="Times New Roman" w:cs="Times New Roman"/>
                <w:b/>
                <w:sz w:val="18"/>
                <w:szCs w:val="18"/>
              </w:rPr>
            </w:pPr>
            <w:r w:rsidRPr="00EA49D6">
              <w:rPr>
                <w:rFonts w:ascii="Times New Roman" w:hAnsi="Times New Roman" w:cs="Times New Roman"/>
                <w:b/>
                <w:sz w:val="18"/>
                <w:szCs w:val="18"/>
              </w:rPr>
              <w:t>Purpose and scope of application</w:t>
            </w:r>
          </w:p>
          <w:p w14:paraId="0DED423B" w14:textId="77777777" w:rsidR="00A9181F" w:rsidRPr="00EA49D6" w:rsidRDefault="00A9181F" w:rsidP="00A9181F">
            <w:pPr>
              <w:jc w:val="both"/>
              <w:rPr>
                <w:rFonts w:ascii="Times New Roman" w:hAnsi="Times New Roman" w:cs="Times New Roman"/>
                <w:sz w:val="18"/>
                <w:szCs w:val="18"/>
              </w:rPr>
            </w:pPr>
          </w:p>
          <w:p w14:paraId="6AE96DE9" w14:textId="77777777" w:rsidR="00162D73" w:rsidRPr="00EA49D6" w:rsidRDefault="00162D73" w:rsidP="00162D73">
            <w:pPr>
              <w:spacing w:before="100" w:beforeAutospacing="1" w:after="100" w:afterAutospacing="1"/>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 xml:space="preserve">This Law establishes the rules and procedures governing the automatic and mandatory exchange of information concerning advance cross-border tax rulings and Advance Pricing Agreements (APAs) between the Competent Authority of the Republic of Albania and the competent authorities of the Member States of the European Union, to the extent provided for under applicable </w:t>
            </w:r>
            <w:r w:rsidRPr="00EA49D6">
              <w:rPr>
                <w:rFonts w:ascii="Times New Roman" w:eastAsia="Times New Roman" w:hAnsi="Times New Roman" w:cs="Times New Roman"/>
                <w:sz w:val="18"/>
                <w:szCs w:val="18"/>
                <w:lang w:val="en-US"/>
              </w:rPr>
              <w:lastRenderedPageBreak/>
              <w:t>international agreements and in accordance with the principles of proportionality and personal data protection.</w:t>
            </w:r>
          </w:p>
          <w:p w14:paraId="182A64E7" w14:textId="77777777" w:rsidR="00162D73" w:rsidRPr="00EA49D6" w:rsidRDefault="00162D73" w:rsidP="00162D73">
            <w:pPr>
              <w:spacing w:before="100" w:beforeAutospacing="1" w:after="100" w:afterAutospacing="1"/>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The provisions of this Law shall not prejudice the application of the legislation in force concerning mutual legal assistance in criminal matters, nor shall they limit the international obligations of the Republic of Albania in the field of administrative cooperation arising from bilateral or multilateral agreements, or from other ratified international legal instruments.</w:t>
            </w:r>
          </w:p>
          <w:p w14:paraId="0B4DE358" w14:textId="1BE96507" w:rsidR="003C045B" w:rsidRPr="00EA49D6" w:rsidRDefault="003C045B" w:rsidP="00A9181F">
            <w:pPr>
              <w:jc w:val="both"/>
              <w:rPr>
                <w:rFonts w:ascii="Times New Roman" w:hAnsi="Times New Roman" w:cs="Times New Roman"/>
                <w:sz w:val="18"/>
                <w:szCs w:val="18"/>
              </w:rPr>
            </w:pPr>
          </w:p>
          <w:p w14:paraId="45566190" w14:textId="2D105C29" w:rsidR="00EC4617" w:rsidRPr="00EA49D6" w:rsidRDefault="00EC4617" w:rsidP="00A9181F">
            <w:pPr>
              <w:jc w:val="both"/>
              <w:rPr>
                <w:rFonts w:ascii="Times New Roman" w:hAnsi="Times New Roman" w:cs="Times New Roman"/>
                <w:sz w:val="18"/>
                <w:szCs w:val="18"/>
              </w:rPr>
            </w:pPr>
          </w:p>
          <w:p w14:paraId="67AC4B09" w14:textId="77777777" w:rsidR="00EC4617" w:rsidRPr="00EA49D6" w:rsidRDefault="00EC4617" w:rsidP="00A9181F">
            <w:pPr>
              <w:jc w:val="both"/>
              <w:rPr>
                <w:rFonts w:ascii="Times New Roman" w:hAnsi="Times New Roman" w:cs="Times New Roman"/>
                <w:sz w:val="18"/>
                <w:szCs w:val="18"/>
              </w:rPr>
            </w:pPr>
          </w:p>
          <w:p w14:paraId="1DA07161" w14:textId="77777777" w:rsidR="00EC4617" w:rsidRPr="00EA49D6" w:rsidRDefault="00EC4617" w:rsidP="00EC4617">
            <w:pPr>
              <w:jc w:val="center"/>
              <w:rPr>
                <w:rFonts w:ascii="Times New Roman" w:hAnsi="Times New Roman" w:cs="Times New Roman"/>
                <w:b/>
                <w:sz w:val="18"/>
                <w:szCs w:val="18"/>
              </w:rPr>
            </w:pPr>
            <w:r w:rsidRPr="00EA49D6">
              <w:rPr>
                <w:rFonts w:ascii="Times New Roman" w:hAnsi="Times New Roman" w:cs="Times New Roman"/>
                <w:b/>
                <w:sz w:val="18"/>
                <w:szCs w:val="18"/>
              </w:rPr>
              <w:t>Article 6</w:t>
            </w:r>
          </w:p>
          <w:p w14:paraId="2F2A5ED8" w14:textId="77777777" w:rsidR="00EC4617" w:rsidRDefault="00EC4617" w:rsidP="00EC4617">
            <w:pPr>
              <w:jc w:val="center"/>
              <w:rPr>
                <w:rFonts w:ascii="Times New Roman" w:hAnsi="Times New Roman" w:cs="Times New Roman"/>
                <w:b/>
                <w:sz w:val="18"/>
                <w:szCs w:val="18"/>
              </w:rPr>
            </w:pPr>
            <w:r w:rsidRPr="00EA49D6">
              <w:rPr>
                <w:rFonts w:ascii="Times New Roman" w:hAnsi="Times New Roman" w:cs="Times New Roman"/>
                <w:b/>
                <w:sz w:val="18"/>
                <w:szCs w:val="18"/>
              </w:rPr>
              <w:t>Recipients of the exchange; Identification of interested Member States and affected persons</w:t>
            </w:r>
          </w:p>
          <w:p w14:paraId="2EE78869" w14:textId="77777777" w:rsidR="00EA49D6" w:rsidRPr="00EA49D6" w:rsidRDefault="00EA49D6" w:rsidP="00EC4617">
            <w:pPr>
              <w:jc w:val="center"/>
              <w:rPr>
                <w:rFonts w:ascii="Times New Roman" w:hAnsi="Times New Roman" w:cs="Times New Roman"/>
                <w:b/>
                <w:sz w:val="18"/>
                <w:szCs w:val="18"/>
              </w:rPr>
            </w:pPr>
          </w:p>
          <w:p w14:paraId="07855EB0" w14:textId="518FD155" w:rsidR="00EC4617" w:rsidRPr="00EA49D6" w:rsidRDefault="00EC4617" w:rsidP="00EC4617">
            <w:pPr>
              <w:jc w:val="both"/>
              <w:rPr>
                <w:rFonts w:ascii="Times New Roman" w:hAnsi="Times New Roman" w:cs="Times New Roman"/>
                <w:sz w:val="18"/>
                <w:szCs w:val="18"/>
              </w:rPr>
            </w:pPr>
            <w:r w:rsidRPr="00EA49D6">
              <w:rPr>
                <w:rFonts w:ascii="Times New Roman" w:hAnsi="Times New Roman" w:cs="Times New Roman"/>
                <w:sz w:val="18"/>
                <w:szCs w:val="18"/>
              </w:rPr>
              <w:t xml:space="preserve">1. </w:t>
            </w:r>
            <w:bookmarkStart w:id="1" w:name="_Hlk231202581"/>
            <w:r w:rsidR="00DD3DA4" w:rsidRPr="00EA49D6">
              <w:rPr>
                <w:rFonts w:ascii="Times New Roman" w:hAnsi="Times New Roman" w:cs="Times New Roman"/>
                <w:sz w:val="18"/>
                <w:szCs w:val="18"/>
              </w:rPr>
              <w:t>The General Directorate of Taxes shall transmit the relevant information to the tax authorities of all other Member States and shall record such information in a central register.</w:t>
            </w:r>
            <w:r w:rsidRPr="00EA49D6">
              <w:rPr>
                <w:rFonts w:ascii="Times New Roman" w:hAnsi="Times New Roman" w:cs="Times New Roman"/>
                <w:sz w:val="18"/>
                <w:szCs w:val="18"/>
              </w:rPr>
              <w:t>.</w:t>
            </w:r>
          </w:p>
          <w:p w14:paraId="26B6FB98" w14:textId="007BA8FB" w:rsidR="00EC4617" w:rsidRPr="00EA49D6" w:rsidRDefault="00EC4617" w:rsidP="00EC4617">
            <w:pPr>
              <w:jc w:val="both"/>
              <w:rPr>
                <w:rFonts w:ascii="Times New Roman" w:hAnsi="Times New Roman" w:cs="Times New Roman"/>
                <w:sz w:val="18"/>
                <w:szCs w:val="18"/>
              </w:rPr>
            </w:pPr>
            <w:r w:rsidRPr="00EA49D6">
              <w:rPr>
                <w:rFonts w:ascii="Times New Roman" w:hAnsi="Times New Roman" w:cs="Times New Roman"/>
                <w:sz w:val="18"/>
                <w:szCs w:val="18"/>
              </w:rPr>
              <w:t xml:space="preserve">2. </w:t>
            </w:r>
            <w:r w:rsidR="00DD3DA4" w:rsidRPr="00EA49D6">
              <w:rPr>
                <w:rFonts w:ascii="Times New Roman" w:hAnsi="Times New Roman" w:cs="Times New Roman"/>
                <w:sz w:val="18"/>
                <w:szCs w:val="18"/>
              </w:rPr>
              <w:t>The General Directorate of Taxes shall indicate, in a standard form, which other Member States may be affected by the ruling or by the Advance Pricing Agreement.</w:t>
            </w:r>
            <w:bookmarkEnd w:id="1"/>
            <w:r w:rsidRPr="00EA49D6">
              <w:rPr>
                <w:rFonts w:ascii="Times New Roman" w:hAnsi="Times New Roman" w:cs="Times New Roman"/>
                <w:sz w:val="18"/>
                <w:szCs w:val="18"/>
              </w:rPr>
              <w:t>3. The Directorate-General shall identify in the standard form any person, other than natural persons, in other Member States, if any, who may be affected by the advance cross-border ruling or advance pricing arrangement (indicating to which Member States the affected persons are connected).</w:t>
            </w:r>
          </w:p>
          <w:p w14:paraId="4DAEA1FE" w14:textId="207785E1" w:rsidR="003C045B" w:rsidRPr="00EA49D6" w:rsidRDefault="003C045B" w:rsidP="000916B6">
            <w:pPr>
              <w:jc w:val="center"/>
              <w:rPr>
                <w:rFonts w:ascii="Times New Roman" w:eastAsia="Calibri" w:hAnsi="Times New Roman" w:cs="Times New Roman"/>
                <w:sz w:val="18"/>
                <w:szCs w:val="18"/>
                <w:lang w:val="en-US"/>
              </w:rPr>
            </w:pPr>
          </w:p>
        </w:tc>
        <w:tc>
          <w:tcPr>
            <w:tcW w:w="720" w:type="dxa"/>
            <w:tcBorders>
              <w:bottom w:val="dashed" w:sz="4" w:space="0" w:color="auto"/>
            </w:tcBorders>
          </w:tcPr>
          <w:p w14:paraId="3F896C22" w14:textId="12603477"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lastRenderedPageBreak/>
              <w:t>F</w:t>
            </w:r>
          </w:p>
        </w:tc>
        <w:tc>
          <w:tcPr>
            <w:tcW w:w="3406" w:type="dxa"/>
            <w:tcBorders>
              <w:bottom w:val="dashed" w:sz="4" w:space="0" w:color="auto"/>
            </w:tcBorders>
          </w:tcPr>
          <w:p w14:paraId="76BFEABA" w14:textId="4DC75375" w:rsidR="000916B6" w:rsidRPr="00EA49D6" w:rsidRDefault="000916B6" w:rsidP="000916B6">
            <w:pPr>
              <w:rPr>
                <w:rFonts w:ascii="Times New Roman" w:eastAsia="Calibri" w:hAnsi="Times New Roman" w:cs="Times New Roman"/>
                <w:iCs/>
                <w:sz w:val="18"/>
                <w:szCs w:val="18"/>
                <w:lang w:val="en-US"/>
              </w:rPr>
            </w:pPr>
          </w:p>
          <w:p w14:paraId="16062C8C" w14:textId="5A7A4A0C" w:rsidR="003C045B" w:rsidRPr="00EA49D6" w:rsidRDefault="003C045B" w:rsidP="003C045B">
            <w:pPr>
              <w:rPr>
                <w:rFonts w:ascii="Times New Roman" w:eastAsia="Calibri" w:hAnsi="Times New Roman" w:cs="Times New Roman"/>
                <w:sz w:val="18"/>
                <w:szCs w:val="18"/>
                <w:lang w:val="en-US"/>
              </w:rPr>
            </w:pPr>
          </w:p>
        </w:tc>
      </w:tr>
      <w:tr w:rsidR="003C045B" w:rsidRPr="00EA49D6" w14:paraId="69F77E82" w14:textId="77777777" w:rsidTr="003675BD">
        <w:tc>
          <w:tcPr>
            <w:tcW w:w="540" w:type="dxa"/>
          </w:tcPr>
          <w:p w14:paraId="69F19673" w14:textId="7B3D6D02" w:rsidR="003C045B" w:rsidRPr="00EA49D6" w:rsidRDefault="003C045B" w:rsidP="003C045B">
            <w:pPr>
              <w:jc w:val="both"/>
              <w:rPr>
                <w:rFonts w:ascii="Times New Roman" w:eastAsia="Calibri" w:hAnsi="Times New Roman" w:cs="Times New Roman"/>
                <w:sz w:val="18"/>
                <w:szCs w:val="18"/>
                <w:lang w:val="en-US"/>
              </w:rPr>
            </w:pPr>
          </w:p>
        </w:tc>
        <w:tc>
          <w:tcPr>
            <w:tcW w:w="5400" w:type="dxa"/>
          </w:tcPr>
          <w:p w14:paraId="4D8B60BA" w14:textId="77777777" w:rsidR="00F82F30" w:rsidRPr="00EA49D6" w:rsidRDefault="00F82F30" w:rsidP="00F82F30">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t>2. The competent authority of a Member State shall, in accordance with applicable practical arrangements adopted pursuant to Article 21, also communicate information to the competent authorities of all other Member States as well as to the European Commission, with the limitation of cases set out in paragraph 8 of this Article, on advance cross-border rulings and advance pricing arrangements issued, amended or renewed within a period beginning five years before 1 January 2017.</w:t>
            </w:r>
          </w:p>
          <w:p w14:paraId="770A986F" w14:textId="77777777" w:rsidR="00F82F30" w:rsidRPr="00EA49D6" w:rsidRDefault="00F82F30" w:rsidP="00F82F30">
            <w:pPr>
              <w:jc w:val="both"/>
              <w:rPr>
                <w:rFonts w:ascii="Times New Roman" w:eastAsia="Calibri" w:hAnsi="Times New Roman" w:cs="Times New Roman"/>
                <w:iCs/>
                <w:sz w:val="18"/>
                <w:szCs w:val="18"/>
                <w:lang w:val="en-US"/>
              </w:rPr>
            </w:pPr>
          </w:p>
          <w:p w14:paraId="6C86C47F" w14:textId="77777777" w:rsidR="00F82F30" w:rsidRPr="00EA49D6" w:rsidRDefault="00F82F30" w:rsidP="00F82F30">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lastRenderedPageBreak/>
              <w:t>If advance cross-border rulings and advance pricing arrangements are issued, amended or renewed between 1 January 2012 and 31 December 2013, such communication shall take place under the condition that they were still valid on 1 January 2014.</w:t>
            </w:r>
          </w:p>
          <w:p w14:paraId="092D24D1" w14:textId="77777777" w:rsidR="00F82F30" w:rsidRPr="00EA49D6" w:rsidRDefault="00F82F30" w:rsidP="00F82F30">
            <w:pPr>
              <w:jc w:val="both"/>
              <w:rPr>
                <w:rFonts w:ascii="Times New Roman" w:eastAsia="Calibri" w:hAnsi="Times New Roman" w:cs="Times New Roman"/>
                <w:iCs/>
                <w:sz w:val="18"/>
                <w:szCs w:val="18"/>
                <w:lang w:val="en-US"/>
              </w:rPr>
            </w:pPr>
          </w:p>
          <w:p w14:paraId="23EA0FF6" w14:textId="77777777" w:rsidR="00F82F30" w:rsidRPr="00EA49D6" w:rsidRDefault="00F82F30" w:rsidP="00F82F30">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t>If advance cross-border rulings and advance pricing arrangements are issued, amended or renewed between 1 January 2014 and 31 December 2016, such communication shall take place regardless of whether they are still valid.</w:t>
            </w:r>
          </w:p>
          <w:p w14:paraId="65732662" w14:textId="77777777" w:rsidR="00F82F30" w:rsidRPr="00EA49D6" w:rsidRDefault="00F82F30" w:rsidP="00F82F30">
            <w:pPr>
              <w:jc w:val="both"/>
              <w:rPr>
                <w:rFonts w:ascii="Times New Roman" w:eastAsia="Calibri" w:hAnsi="Times New Roman" w:cs="Times New Roman"/>
                <w:iCs/>
                <w:sz w:val="18"/>
                <w:szCs w:val="18"/>
                <w:lang w:val="en-US"/>
              </w:rPr>
            </w:pPr>
          </w:p>
          <w:p w14:paraId="7379828A" w14:textId="0D946B86" w:rsidR="003C045B" w:rsidRPr="00EA49D6" w:rsidRDefault="00F82F30" w:rsidP="00F82F30">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t>Member States may exclude from the communication referred to in this paragraph, information on advance cross-border rulings and advance pricing arrangements issued, amended or renewed before 1 April 2016 to a particular person or a group of persons, excluding those conducting mainly financial or investment activities, with a group-wide annual net turnover, as defined in point (5) of Article 2 of Directive 2013/34/EU of the European Parliament and of the Council (*1), of less than EUR 40 000 000 (or the equivalent amount in any other currency) in the fiscal year preceding the date of issuance, amendment or renewal of those cross-border rulings and advance pricing arrangements.</w:t>
            </w:r>
          </w:p>
        </w:tc>
        <w:tc>
          <w:tcPr>
            <w:tcW w:w="540" w:type="dxa"/>
          </w:tcPr>
          <w:p w14:paraId="126B8A65" w14:textId="484EE591" w:rsidR="003C045B" w:rsidRPr="00EA49D6" w:rsidRDefault="003C045B" w:rsidP="003C045B">
            <w:pPr>
              <w:jc w:val="center"/>
              <w:rPr>
                <w:rFonts w:ascii="Times New Roman" w:eastAsia="Calibri" w:hAnsi="Times New Roman" w:cs="Times New Roman"/>
                <w:sz w:val="18"/>
                <w:szCs w:val="18"/>
              </w:rPr>
            </w:pPr>
          </w:p>
        </w:tc>
        <w:tc>
          <w:tcPr>
            <w:tcW w:w="554" w:type="dxa"/>
          </w:tcPr>
          <w:p w14:paraId="434E11A2" w14:textId="77777777" w:rsidR="0000140B" w:rsidRPr="00EA49D6" w:rsidRDefault="0000140B" w:rsidP="003C045B">
            <w:pPr>
              <w:jc w:val="center"/>
              <w:rPr>
                <w:rFonts w:ascii="Times New Roman" w:eastAsia="Calibri" w:hAnsi="Times New Roman" w:cs="Times New Roman"/>
                <w:sz w:val="18"/>
                <w:szCs w:val="18"/>
                <w:lang w:val="en-US"/>
              </w:rPr>
            </w:pPr>
          </w:p>
          <w:p w14:paraId="4F71CC44" w14:textId="6EA1768E"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Article 3</w:t>
            </w:r>
          </w:p>
        </w:tc>
        <w:tc>
          <w:tcPr>
            <w:tcW w:w="5040" w:type="dxa"/>
          </w:tcPr>
          <w:p w14:paraId="7E02E6A5" w14:textId="77777777" w:rsidR="001C7741" w:rsidRPr="00EA49D6" w:rsidRDefault="001C7741" w:rsidP="001C7741">
            <w:pPr>
              <w:jc w:val="both"/>
              <w:rPr>
                <w:rFonts w:ascii="Times New Roman" w:eastAsia="Calibri" w:hAnsi="Times New Roman" w:cs="Times New Roman"/>
                <w:sz w:val="18"/>
                <w:szCs w:val="18"/>
                <w:lang w:val="en-US"/>
              </w:rPr>
            </w:pPr>
          </w:p>
          <w:p w14:paraId="3F9163F3" w14:textId="77777777" w:rsidR="001C7741" w:rsidRPr="00EA49D6" w:rsidRDefault="001C7741" w:rsidP="001C7741">
            <w:pPr>
              <w:ind w:left="360"/>
              <w:jc w:val="both"/>
              <w:rPr>
                <w:rFonts w:ascii="Times New Roman" w:eastAsia="Calibri" w:hAnsi="Times New Roman" w:cs="Times New Roman"/>
                <w:sz w:val="18"/>
                <w:szCs w:val="18"/>
                <w:lang w:val="en-US"/>
              </w:rPr>
            </w:pPr>
          </w:p>
          <w:p w14:paraId="0544FB50" w14:textId="77777777" w:rsidR="001C7741" w:rsidRPr="00EA49D6" w:rsidRDefault="001C7741" w:rsidP="001C7741">
            <w:pPr>
              <w:jc w:val="center"/>
              <w:rPr>
                <w:rFonts w:ascii="Times New Roman" w:hAnsi="Times New Roman" w:cs="Times New Roman"/>
                <w:b/>
                <w:sz w:val="18"/>
                <w:szCs w:val="18"/>
              </w:rPr>
            </w:pPr>
            <w:r w:rsidRPr="00EA49D6">
              <w:rPr>
                <w:rFonts w:ascii="Times New Roman" w:hAnsi="Times New Roman" w:cs="Times New Roman"/>
                <w:b/>
                <w:sz w:val="18"/>
                <w:szCs w:val="18"/>
              </w:rPr>
              <w:t>Article 3</w:t>
            </w:r>
          </w:p>
          <w:p w14:paraId="4269EB87" w14:textId="77777777" w:rsidR="001C7741" w:rsidRPr="00EA49D6" w:rsidRDefault="001C7741" w:rsidP="001C7741">
            <w:pPr>
              <w:jc w:val="center"/>
              <w:rPr>
                <w:rFonts w:ascii="Times New Roman" w:hAnsi="Times New Roman" w:cs="Times New Roman"/>
                <w:sz w:val="18"/>
                <w:szCs w:val="18"/>
              </w:rPr>
            </w:pPr>
            <w:r w:rsidRPr="00EA49D6">
              <w:rPr>
                <w:rFonts w:ascii="Times New Roman" w:hAnsi="Times New Roman" w:cs="Times New Roman"/>
                <w:b/>
                <w:sz w:val="18"/>
                <w:szCs w:val="18"/>
              </w:rPr>
              <w:t>Scope of automatic exchange and obligation to exchange</w:t>
            </w:r>
          </w:p>
          <w:p w14:paraId="2DD4E56F" w14:textId="02219C24" w:rsidR="00B13469" w:rsidRPr="00EA49D6" w:rsidRDefault="00B13469" w:rsidP="00B13469">
            <w:pPr>
              <w:jc w:val="both"/>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 xml:space="preserve"> </w:t>
            </w:r>
          </w:p>
          <w:p w14:paraId="5B7295EF" w14:textId="77777777" w:rsidR="00B13469" w:rsidRPr="00EA49D6" w:rsidRDefault="00B13469" w:rsidP="00B13469">
            <w:pPr>
              <w:jc w:val="both"/>
              <w:rPr>
                <w:rFonts w:ascii="Times New Roman" w:eastAsia="Calibri" w:hAnsi="Times New Roman" w:cs="Times New Roman"/>
                <w:sz w:val="18"/>
                <w:szCs w:val="18"/>
                <w:lang w:val="en-US"/>
              </w:rPr>
            </w:pPr>
          </w:p>
          <w:p w14:paraId="197411F3" w14:textId="34063EBC" w:rsidR="00B13469" w:rsidRPr="00EA49D6" w:rsidRDefault="00B13469" w:rsidP="00B13469">
            <w:pPr>
              <w:jc w:val="both"/>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 xml:space="preserve">5. The General Directorate of </w:t>
            </w:r>
            <w:r w:rsidR="00D732B4" w:rsidRPr="00EA49D6">
              <w:rPr>
                <w:rFonts w:ascii="Times New Roman" w:eastAsia="Calibri" w:hAnsi="Times New Roman" w:cs="Times New Roman"/>
                <w:sz w:val="18"/>
                <w:szCs w:val="18"/>
                <w:lang w:val="en-US"/>
              </w:rPr>
              <w:t>Taxation</w:t>
            </w:r>
            <w:r w:rsidRPr="00EA49D6">
              <w:rPr>
                <w:rFonts w:ascii="Times New Roman" w:eastAsia="Calibri" w:hAnsi="Times New Roman" w:cs="Times New Roman"/>
                <w:sz w:val="18"/>
                <w:szCs w:val="18"/>
                <w:lang w:val="en-US"/>
              </w:rPr>
              <w:t>, through automatic exchange, shall communicate information on any advance cross-</w:t>
            </w:r>
            <w:r w:rsidRPr="00EA49D6">
              <w:rPr>
                <w:rFonts w:ascii="Times New Roman" w:eastAsia="Calibri" w:hAnsi="Times New Roman" w:cs="Times New Roman"/>
                <w:sz w:val="18"/>
                <w:szCs w:val="18"/>
                <w:lang w:val="en-US"/>
              </w:rPr>
              <w:lastRenderedPageBreak/>
              <w:t>border ruling or Advance Pricing Agreement that it has issued, amended, or renewed in the Republic of Albania.</w:t>
            </w:r>
          </w:p>
          <w:p w14:paraId="5BB63C0C" w14:textId="14A9AD5E" w:rsidR="003C045B" w:rsidRPr="00EA49D6" w:rsidRDefault="00B13469" w:rsidP="00B13469">
            <w:pPr>
              <w:jc w:val="both"/>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 xml:space="preserve">6. </w:t>
            </w:r>
            <w:r w:rsidR="008B18B4" w:rsidRPr="00EA49D6">
              <w:rPr>
                <w:rFonts w:ascii="Times New Roman" w:eastAsia="Calibri" w:hAnsi="Times New Roman" w:cs="Times New Roman"/>
                <w:sz w:val="18"/>
                <w:szCs w:val="18"/>
                <w:lang w:val="en-US"/>
              </w:rPr>
              <w:t>The General Directorate of Taxation</w:t>
            </w:r>
            <w:r w:rsidR="008B18B4" w:rsidRPr="00EA49D6" w:rsidDel="008B18B4">
              <w:rPr>
                <w:rFonts w:ascii="Times New Roman" w:eastAsia="Calibri" w:hAnsi="Times New Roman" w:cs="Times New Roman"/>
                <w:sz w:val="18"/>
                <w:szCs w:val="18"/>
                <w:lang w:val="en-US"/>
              </w:rPr>
              <w:t xml:space="preserve"> </w:t>
            </w:r>
            <w:r w:rsidRPr="00EA49D6">
              <w:rPr>
                <w:rFonts w:ascii="Times New Roman" w:eastAsia="Calibri" w:hAnsi="Times New Roman" w:cs="Times New Roman"/>
                <w:sz w:val="18"/>
                <w:szCs w:val="18"/>
                <w:lang w:val="en-US"/>
              </w:rPr>
              <w:t>may exclude from the communication of information on advance cross-border rulings and advance pricing agreements any person or group of persons, excluding those carrying out primarily financial or investment activities, with an annual net turnover of less than EUR 40,000,000 (or the equivalent amount in any other currency) during the fiscal year.</w:t>
            </w:r>
          </w:p>
        </w:tc>
        <w:tc>
          <w:tcPr>
            <w:tcW w:w="720" w:type="dxa"/>
          </w:tcPr>
          <w:p w14:paraId="792A6F0C" w14:textId="1F6AA930" w:rsidR="003C045B" w:rsidRPr="00EA49D6" w:rsidRDefault="003C045B"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lastRenderedPageBreak/>
              <w:t>F</w:t>
            </w:r>
          </w:p>
        </w:tc>
        <w:tc>
          <w:tcPr>
            <w:tcW w:w="3406" w:type="dxa"/>
          </w:tcPr>
          <w:p w14:paraId="6BF325A1" w14:textId="47A36095" w:rsidR="003C045B" w:rsidRPr="00EA49D6" w:rsidRDefault="003C045B" w:rsidP="00462F38">
            <w:pPr>
              <w:rPr>
                <w:rFonts w:ascii="Times New Roman" w:eastAsia="Calibri" w:hAnsi="Times New Roman" w:cs="Times New Roman"/>
                <w:sz w:val="18"/>
                <w:szCs w:val="18"/>
                <w:lang w:val="en-US"/>
              </w:rPr>
            </w:pPr>
          </w:p>
        </w:tc>
      </w:tr>
      <w:tr w:rsidR="003C045B" w:rsidRPr="00EA49D6" w14:paraId="602A0892" w14:textId="77777777" w:rsidTr="003675BD">
        <w:trPr>
          <w:trHeight w:val="900"/>
        </w:trPr>
        <w:tc>
          <w:tcPr>
            <w:tcW w:w="540" w:type="dxa"/>
          </w:tcPr>
          <w:p w14:paraId="176CFC32" w14:textId="7CC0D92E" w:rsidR="003C045B" w:rsidRPr="00EA49D6" w:rsidRDefault="003C045B" w:rsidP="003C045B">
            <w:pPr>
              <w:jc w:val="both"/>
              <w:rPr>
                <w:rFonts w:ascii="Times New Roman" w:eastAsia="Calibri" w:hAnsi="Times New Roman" w:cs="Times New Roman"/>
                <w:sz w:val="18"/>
                <w:szCs w:val="18"/>
                <w:lang w:val="en-US"/>
              </w:rPr>
            </w:pPr>
          </w:p>
        </w:tc>
        <w:tc>
          <w:tcPr>
            <w:tcW w:w="5400" w:type="dxa"/>
          </w:tcPr>
          <w:p w14:paraId="2A39778C" w14:textId="77777777" w:rsidR="00F82F30" w:rsidRPr="00EA49D6" w:rsidRDefault="00F82F30" w:rsidP="00F82F30">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t>3. Bilateral or multilateral advance pricing arrangements with third countries shall be excluded from the scope of automatic exchange of information under this Article where the international tax agreement under which the advance pricing arrangement was negotiated does not permit its disclosure to third parties. Such bilateral or multilateral advance pricing arrangements will be exchanged under Article 9, where the international tax agreement under which the advance pricing arrangement was negotiated permits its disclosure, and the competent authority of the third country gives permission for the information to be disclosed.</w:t>
            </w:r>
          </w:p>
          <w:p w14:paraId="79ABEE94" w14:textId="77777777" w:rsidR="00F82F30" w:rsidRPr="00EA49D6" w:rsidRDefault="00F82F30" w:rsidP="00F82F30">
            <w:pPr>
              <w:jc w:val="both"/>
              <w:rPr>
                <w:rFonts w:ascii="Times New Roman" w:eastAsia="Calibri" w:hAnsi="Times New Roman" w:cs="Times New Roman"/>
                <w:iCs/>
                <w:sz w:val="18"/>
                <w:szCs w:val="18"/>
                <w:lang w:val="en-US"/>
              </w:rPr>
            </w:pPr>
          </w:p>
          <w:p w14:paraId="620A1432" w14:textId="53EC90DC" w:rsidR="00FC5AE0" w:rsidRPr="00EA49D6" w:rsidRDefault="00F82F30" w:rsidP="00F82F30">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t>However, where the bilateral or multilateral advance pricing arrangements would be excluded from the automatic exchange of information under the first sentence of the first subparagraph of this paragraph, the information identified in paragraph 6 of this Article referred to in the request that lead to issuance of such a bilateral or multilateral advance pricing arrangement shall instead be exchanged under paragraphs 1 and 2 of this Article.</w:t>
            </w:r>
          </w:p>
          <w:p w14:paraId="37B59ACE" w14:textId="1556B32D" w:rsidR="00462F38" w:rsidRPr="00EA49D6" w:rsidRDefault="00462F38" w:rsidP="00462F38">
            <w:pPr>
              <w:jc w:val="both"/>
              <w:rPr>
                <w:rFonts w:ascii="Times New Roman" w:eastAsia="Calibri" w:hAnsi="Times New Roman" w:cs="Times New Roman"/>
                <w:iCs/>
                <w:sz w:val="18"/>
                <w:szCs w:val="18"/>
                <w:lang w:val="en-US"/>
              </w:rPr>
            </w:pPr>
          </w:p>
          <w:p w14:paraId="4B13DA69" w14:textId="1CCFA5DE" w:rsidR="003C045B" w:rsidRPr="00EA49D6" w:rsidRDefault="003C045B" w:rsidP="00FC5AE0">
            <w:pPr>
              <w:jc w:val="both"/>
              <w:rPr>
                <w:rFonts w:ascii="Times New Roman" w:eastAsia="Calibri" w:hAnsi="Times New Roman" w:cs="Times New Roman"/>
                <w:iCs/>
                <w:sz w:val="18"/>
                <w:szCs w:val="18"/>
                <w:lang w:val="en-US"/>
              </w:rPr>
            </w:pPr>
          </w:p>
        </w:tc>
        <w:tc>
          <w:tcPr>
            <w:tcW w:w="540" w:type="dxa"/>
          </w:tcPr>
          <w:p w14:paraId="08D27D38" w14:textId="022BD9E7" w:rsidR="003C045B" w:rsidRPr="00EA49D6" w:rsidRDefault="003C045B" w:rsidP="003C045B">
            <w:pPr>
              <w:jc w:val="center"/>
              <w:rPr>
                <w:rFonts w:ascii="Times New Roman" w:eastAsia="Calibri" w:hAnsi="Times New Roman" w:cs="Times New Roman"/>
                <w:sz w:val="18"/>
                <w:szCs w:val="18"/>
              </w:rPr>
            </w:pPr>
          </w:p>
        </w:tc>
        <w:tc>
          <w:tcPr>
            <w:tcW w:w="554" w:type="dxa"/>
          </w:tcPr>
          <w:p w14:paraId="23D4D5A1" w14:textId="77777777" w:rsidR="0000140B" w:rsidRPr="00EA49D6" w:rsidRDefault="0000140B" w:rsidP="003C045B">
            <w:pPr>
              <w:jc w:val="center"/>
              <w:rPr>
                <w:rFonts w:ascii="Times New Roman" w:eastAsia="Calibri" w:hAnsi="Times New Roman" w:cs="Times New Roman"/>
                <w:sz w:val="18"/>
                <w:szCs w:val="18"/>
                <w:lang w:val="en-US"/>
              </w:rPr>
            </w:pPr>
          </w:p>
          <w:p w14:paraId="76515CA7" w14:textId="25074AFF"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Article 3</w:t>
            </w:r>
          </w:p>
        </w:tc>
        <w:tc>
          <w:tcPr>
            <w:tcW w:w="5040" w:type="dxa"/>
            <w:tcBorders>
              <w:bottom w:val="dashed" w:sz="4" w:space="0" w:color="auto"/>
            </w:tcBorders>
          </w:tcPr>
          <w:p w14:paraId="5A86BE1E" w14:textId="77777777" w:rsidR="001C7741" w:rsidRPr="00EA49D6" w:rsidRDefault="003C045B" w:rsidP="001C7741">
            <w:pPr>
              <w:jc w:val="both"/>
              <w:rPr>
                <w:rFonts w:ascii="Times New Roman" w:eastAsia="Calibri" w:hAnsi="Times New Roman" w:cs="Times New Roman"/>
                <w:sz w:val="18"/>
                <w:szCs w:val="18"/>
              </w:rPr>
            </w:pPr>
            <w:r w:rsidRPr="00EA49D6">
              <w:rPr>
                <w:rFonts w:ascii="Times New Roman" w:hAnsi="Times New Roman" w:cs="Times New Roman"/>
                <w:color w:val="000000" w:themeColor="text1"/>
                <w:sz w:val="18"/>
                <w:szCs w:val="18"/>
              </w:rPr>
              <w:br/>
            </w:r>
          </w:p>
          <w:p w14:paraId="6D619C96" w14:textId="0CAF1DC3" w:rsidR="001C7741" w:rsidRPr="00EA49D6" w:rsidRDefault="001C7741" w:rsidP="001C7741">
            <w:pPr>
              <w:jc w:val="center"/>
              <w:rPr>
                <w:rFonts w:ascii="Times New Roman" w:eastAsia="Calibri" w:hAnsi="Times New Roman" w:cs="Times New Roman"/>
                <w:b/>
                <w:sz w:val="18"/>
                <w:szCs w:val="18"/>
              </w:rPr>
            </w:pPr>
            <w:r w:rsidRPr="00EA49D6">
              <w:rPr>
                <w:rFonts w:ascii="Times New Roman" w:eastAsia="Calibri" w:hAnsi="Times New Roman" w:cs="Times New Roman"/>
                <w:b/>
                <w:sz w:val="18"/>
                <w:szCs w:val="18"/>
              </w:rPr>
              <w:t>Article 3</w:t>
            </w:r>
          </w:p>
          <w:p w14:paraId="35158008" w14:textId="77777777" w:rsidR="001C7741" w:rsidRPr="00EA49D6" w:rsidRDefault="001C7741" w:rsidP="001C7741">
            <w:pPr>
              <w:jc w:val="center"/>
              <w:rPr>
                <w:rFonts w:ascii="Times New Roman" w:eastAsia="Calibri" w:hAnsi="Times New Roman" w:cs="Times New Roman"/>
                <w:b/>
                <w:sz w:val="18"/>
                <w:szCs w:val="18"/>
              </w:rPr>
            </w:pPr>
          </w:p>
          <w:p w14:paraId="553257D6" w14:textId="54C10A25" w:rsidR="001C7741" w:rsidRPr="00EA49D6" w:rsidRDefault="001C7741" w:rsidP="001C7741">
            <w:pPr>
              <w:jc w:val="center"/>
              <w:rPr>
                <w:rFonts w:ascii="Times New Roman" w:eastAsia="Calibri" w:hAnsi="Times New Roman" w:cs="Times New Roman"/>
                <w:b/>
                <w:sz w:val="18"/>
                <w:szCs w:val="18"/>
              </w:rPr>
            </w:pPr>
            <w:r w:rsidRPr="00EA49D6">
              <w:rPr>
                <w:rFonts w:ascii="Times New Roman" w:eastAsia="Calibri" w:hAnsi="Times New Roman" w:cs="Times New Roman"/>
                <w:b/>
                <w:sz w:val="18"/>
                <w:szCs w:val="18"/>
              </w:rPr>
              <w:t>Scope of automatic exchange and obligation to exchange</w:t>
            </w:r>
          </w:p>
          <w:p w14:paraId="20B56A29" w14:textId="77777777" w:rsidR="001C7741" w:rsidRPr="00EA49D6" w:rsidRDefault="001C7741" w:rsidP="001C7741">
            <w:pPr>
              <w:jc w:val="both"/>
              <w:rPr>
                <w:rFonts w:ascii="Times New Roman" w:eastAsia="Calibri" w:hAnsi="Times New Roman" w:cs="Times New Roman"/>
                <w:sz w:val="18"/>
                <w:szCs w:val="18"/>
              </w:rPr>
            </w:pPr>
          </w:p>
          <w:p w14:paraId="22ABA202" w14:textId="77777777" w:rsidR="00142D18" w:rsidRPr="00EA49D6" w:rsidRDefault="001C7741" w:rsidP="00EA49D6">
            <w:pPr>
              <w:pStyle w:val="NormalWeb"/>
              <w:jc w:val="both"/>
              <w:rPr>
                <w:rFonts w:eastAsia="Times New Roman"/>
                <w:sz w:val="18"/>
                <w:szCs w:val="18"/>
                <w:lang w:val="en-US"/>
              </w:rPr>
            </w:pPr>
            <w:r w:rsidRPr="00EA49D6">
              <w:rPr>
                <w:rFonts w:eastAsia="Calibri"/>
                <w:sz w:val="18"/>
                <w:szCs w:val="18"/>
              </w:rPr>
              <w:t xml:space="preserve">7. </w:t>
            </w:r>
            <w:r w:rsidR="00142D18" w:rsidRPr="00EA49D6">
              <w:rPr>
                <w:rFonts w:eastAsia="Times New Roman"/>
                <w:sz w:val="18"/>
                <w:szCs w:val="18"/>
                <w:lang w:val="en-US"/>
              </w:rPr>
              <w:t>Bilateral or multilateral Advance Pricing Agreements (APAs) concluded with third countries shall be excluded from the automatic exchange of information under this Article where the international tax agreement on the basis of which the Advance Pricing Agreement was negotiated does not permit the exchange or disclosure of information to third parties.</w:t>
            </w:r>
          </w:p>
          <w:p w14:paraId="2D72D88E" w14:textId="77777777" w:rsidR="00142D18" w:rsidRPr="00EA49D6" w:rsidRDefault="00142D18" w:rsidP="00EA49D6">
            <w:pPr>
              <w:spacing w:before="100" w:beforeAutospacing="1" w:after="100" w:afterAutospacing="1"/>
              <w:jc w:val="both"/>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 xml:space="preserve">Such agreements shall be subject to exchange only where the relevant international agreement permits the disclosure of such </w:t>
            </w:r>
            <w:r w:rsidRPr="00EA49D6">
              <w:rPr>
                <w:rFonts w:ascii="Times New Roman" w:eastAsia="Times New Roman" w:hAnsi="Times New Roman" w:cs="Times New Roman"/>
                <w:sz w:val="18"/>
                <w:szCs w:val="18"/>
                <w:lang w:val="en-US"/>
              </w:rPr>
              <w:lastRenderedPageBreak/>
              <w:t>information and the competent authority of the third country has granted the necessary authorization for its disclosure.</w:t>
            </w:r>
          </w:p>
          <w:p w14:paraId="2A5C5DAB" w14:textId="1F1E6096" w:rsidR="003C045B" w:rsidRPr="00EA49D6" w:rsidRDefault="001C7741" w:rsidP="001C7741">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w:t>
            </w:r>
          </w:p>
        </w:tc>
        <w:tc>
          <w:tcPr>
            <w:tcW w:w="720" w:type="dxa"/>
            <w:tcBorders>
              <w:bottom w:val="dashed" w:sz="4" w:space="0" w:color="auto"/>
            </w:tcBorders>
          </w:tcPr>
          <w:p w14:paraId="34822B49" w14:textId="549F1771"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lastRenderedPageBreak/>
              <w:t>F</w:t>
            </w:r>
          </w:p>
        </w:tc>
        <w:tc>
          <w:tcPr>
            <w:tcW w:w="3406" w:type="dxa"/>
            <w:tcBorders>
              <w:bottom w:val="dashed" w:sz="4" w:space="0" w:color="auto"/>
            </w:tcBorders>
          </w:tcPr>
          <w:p w14:paraId="00C351E9" w14:textId="2CE1D3DD" w:rsidR="003C045B" w:rsidRPr="00EA49D6" w:rsidRDefault="003C045B" w:rsidP="003C045B">
            <w:pPr>
              <w:rPr>
                <w:rFonts w:ascii="Times New Roman" w:eastAsia="Calibri" w:hAnsi="Times New Roman" w:cs="Times New Roman"/>
                <w:sz w:val="18"/>
                <w:szCs w:val="18"/>
                <w:lang w:val="en-US"/>
              </w:rPr>
            </w:pPr>
          </w:p>
        </w:tc>
      </w:tr>
      <w:tr w:rsidR="003C045B" w:rsidRPr="00EA49D6" w14:paraId="7AB48AF4" w14:textId="77777777" w:rsidTr="003675BD">
        <w:tc>
          <w:tcPr>
            <w:tcW w:w="540" w:type="dxa"/>
          </w:tcPr>
          <w:p w14:paraId="796E7F23" w14:textId="465E4252" w:rsidR="003C045B" w:rsidRPr="00EA49D6" w:rsidRDefault="003C045B" w:rsidP="003C045B">
            <w:pPr>
              <w:jc w:val="both"/>
              <w:rPr>
                <w:rFonts w:ascii="Times New Roman" w:eastAsia="Calibri" w:hAnsi="Times New Roman" w:cs="Times New Roman"/>
                <w:sz w:val="18"/>
                <w:szCs w:val="18"/>
                <w:lang w:val="en-US"/>
              </w:rPr>
            </w:pPr>
          </w:p>
        </w:tc>
        <w:tc>
          <w:tcPr>
            <w:tcW w:w="5400" w:type="dxa"/>
          </w:tcPr>
          <w:p w14:paraId="39858D15" w14:textId="027F05D6" w:rsidR="00591577" w:rsidRPr="00EA49D6" w:rsidRDefault="00F82F30" w:rsidP="00591577">
            <w:pPr>
              <w:shd w:val="clear" w:color="auto" w:fill="FFFFFF"/>
              <w:spacing w:before="120"/>
              <w:jc w:val="both"/>
              <w:rPr>
                <w:rFonts w:ascii="Times New Roman" w:eastAsia="Times New Roman" w:hAnsi="Times New Roman" w:cs="Times New Roman"/>
                <w:color w:val="333333"/>
                <w:sz w:val="18"/>
                <w:szCs w:val="18"/>
              </w:rPr>
            </w:pPr>
            <w:r w:rsidRPr="00EA49D6">
              <w:rPr>
                <w:rFonts w:ascii="Times New Roman" w:eastAsia="Times New Roman" w:hAnsi="Times New Roman" w:cs="Times New Roman"/>
                <w:color w:val="333333"/>
                <w:sz w:val="18"/>
                <w:szCs w:val="18"/>
              </w:rPr>
              <w:t>4. Paragraphs 1 and 2 shall not apply in a case where an advance cross-border ruling exclusively concerns and involves the tax affairs of one or more natural persons, except where such an advance cross-border ruling was issued, amended or renewed after 1 January 2026 and where:</w:t>
            </w:r>
          </w:p>
          <w:p w14:paraId="465E1E06" w14:textId="14AFAECB" w:rsidR="00591577" w:rsidRPr="00EA49D6" w:rsidRDefault="00591577" w:rsidP="00591577">
            <w:pPr>
              <w:shd w:val="clear" w:color="auto" w:fill="FFFFFF"/>
              <w:spacing w:before="120"/>
              <w:jc w:val="both"/>
              <w:rPr>
                <w:rFonts w:ascii="Times New Roman" w:eastAsia="Times New Roman" w:hAnsi="Times New Roman" w:cs="Times New Roman"/>
                <w:color w:val="333333"/>
                <w:sz w:val="18"/>
                <w:szCs w:val="18"/>
              </w:rPr>
            </w:pPr>
            <w:r w:rsidRPr="00EA49D6">
              <w:rPr>
                <w:rFonts w:ascii="Times New Roman" w:eastAsia="Times New Roman" w:hAnsi="Times New Roman" w:cs="Times New Roman"/>
                <w:color w:val="333333"/>
                <w:sz w:val="18"/>
                <w:szCs w:val="18"/>
              </w:rPr>
              <w:t>(a) the amount of the transaction or series of transactions of the advance cross-border ruling exceeds EUR 1,500,000 (or the equivalent amount in any other currency), if such amount is referred to in the advance cross-border ruling; hrs</w:t>
            </w:r>
          </w:p>
          <w:p w14:paraId="23B2A4F9" w14:textId="77777777" w:rsidR="00591577" w:rsidRPr="00EA49D6" w:rsidRDefault="00591577" w:rsidP="00591577">
            <w:pPr>
              <w:shd w:val="clear" w:color="auto" w:fill="FFFFFF"/>
              <w:spacing w:before="120"/>
              <w:jc w:val="both"/>
              <w:rPr>
                <w:rFonts w:ascii="Times New Roman" w:eastAsia="Times New Roman" w:hAnsi="Times New Roman" w:cs="Times New Roman"/>
                <w:color w:val="333333"/>
                <w:sz w:val="18"/>
                <w:szCs w:val="18"/>
              </w:rPr>
            </w:pPr>
          </w:p>
          <w:p w14:paraId="7E50FEDB" w14:textId="32D14E7B" w:rsidR="00591577" w:rsidRPr="00EA49D6" w:rsidRDefault="00591577" w:rsidP="00591577">
            <w:pPr>
              <w:shd w:val="clear" w:color="auto" w:fill="FFFFFF"/>
              <w:spacing w:before="120"/>
              <w:jc w:val="both"/>
              <w:rPr>
                <w:rFonts w:ascii="Times New Roman" w:eastAsia="Times New Roman" w:hAnsi="Times New Roman" w:cs="Times New Roman"/>
                <w:color w:val="333333"/>
                <w:sz w:val="18"/>
                <w:szCs w:val="18"/>
              </w:rPr>
            </w:pPr>
            <w:r w:rsidRPr="00EA49D6">
              <w:rPr>
                <w:rFonts w:ascii="Times New Roman" w:eastAsia="Times New Roman" w:hAnsi="Times New Roman" w:cs="Times New Roman"/>
                <w:color w:val="333333"/>
                <w:sz w:val="18"/>
                <w:szCs w:val="18"/>
              </w:rPr>
              <w:t>(b) the advance cross-border ruling determines whether a person is or is not resident for tax purposes in the Member State issuing the ruling.</w:t>
            </w:r>
          </w:p>
          <w:p w14:paraId="4279AB05" w14:textId="22BC8905" w:rsidR="00591577" w:rsidRPr="00EA49D6" w:rsidRDefault="00591577" w:rsidP="00591577">
            <w:pPr>
              <w:shd w:val="clear" w:color="auto" w:fill="FFFFFF"/>
              <w:spacing w:before="120"/>
              <w:jc w:val="both"/>
              <w:rPr>
                <w:rFonts w:ascii="Times New Roman" w:eastAsia="Times New Roman" w:hAnsi="Times New Roman" w:cs="Times New Roman"/>
                <w:color w:val="333333"/>
                <w:sz w:val="18"/>
                <w:szCs w:val="18"/>
              </w:rPr>
            </w:pPr>
            <w:r w:rsidRPr="00EA49D6">
              <w:rPr>
                <w:rFonts w:ascii="Times New Roman" w:eastAsia="Times New Roman" w:hAnsi="Times New Roman" w:cs="Times New Roman"/>
                <w:color w:val="333333"/>
                <w:sz w:val="18"/>
                <w:szCs w:val="18"/>
              </w:rPr>
              <w:t>For the purposes of the first subparagraph, point (a), and without prejudice to the amount referred to in the advance cross-border ruling, in a series of transactions regarding different goods, services or assets the amount of the advance cross-border ruling shall comprise the total underlying value. The amounts shall not be aggregated if the same goods, services or assets are transacted several times.</w:t>
            </w:r>
          </w:p>
          <w:p w14:paraId="21122E0F" w14:textId="50A2AC71" w:rsidR="00BC5DCD" w:rsidRPr="00EA49D6" w:rsidRDefault="00591577" w:rsidP="00591577">
            <w:pPr>
              <w:shd w:val="clear" w:color="auto" w:fill="FFFFFF"/>
              <w:spacing w:before="120"/>
              <w:jc w:val="both"/>
              <w:rPr>
                <w:rFonts w:ascii="Times New Roman" w:eastAsia="Times New Roman" w:hAnsi="Times New Roman" w:cs="Times New Roman"/>
                <w:color w:val="333333"/>
                <w:sz w:val="18"/>
                <w:szCs w:val="18"/>
              </w:rPr>
            </w:pPr>
            <w:r w:rsidRPr="00EA49D6">
              <w:rPr>
                <w:rFonts w:ascii="Times New Roman" w:eastAsia="Times New Roman" w:hAnsi="Times New Roman" w:cs="Times New Roman"/>
                <w:color w:val="333333"/>
                <w:sz w:val="18"/>
                <w:szCs w:val="18"/>
              </w:rPr>
              <w:t>Notwithstanding the first subparagraph, point (b), the exchange of information on advance cross-border rulings concerning natural persons shall not include such rulings on taxation at source with regard to non-residents' income from employment, director's fees or pensions.</w:t>
            </w:r>
          </w:p>
          <w:p w14:paraId="1F105BED" w14:textId="2C4672DD" w:rsidR="003C045B" w:rsidRPr="00EA49D6" w:rsidRDefault="003C045B" w:rsidP="00BC5DCD">
            <w:pPr>
              <w:shd w:val="clear" w:color="auto" w:fill="FFFFFF"/>
              <w:spacing w:before="120"/>
              <w:jc w:val="both"/>
              <w:rPr>
                <w:rFonts w:ascii="Times New Roman" w:eastAsia="Calibri" w:hAnsi="Times New Roman" w:cs="Times New Roman"/>
                <w:iCs/>
                <w:sz w:val="18"/>
                <w:szCs w:val="18"/>
                <w:lang w:val="en-US"/>
              </w:rPr>
            </w:pPr>
          </w:p>
        </w:tc>
        <w:tc>
          <w:tcPr>
            <w:tcW w:w="540" w:type="dxa"/>
          </w:tcPr>
          <w:p w14:paraId="3E152E78" w14:textId="127DB0ED" w:rsidR="003C045B" w:rsidRPr="00EA49D6" w:rsidRDefault="003C045B" w:rsidP="003C045B">
            <w:pPr>
              <w:jc w:val="center"/>
              <w:rPr>
                <w:rFonts w:ascii="Times New Roman" w:eastAsia="Calibri" w:hAnsi="Times New Roman" w:cs="Times New Roman"/>
                <w:sz w:val="18"/>
                <w:szCs w:val="18"/>
              </w:rPr>
            </w:pPr>
          </w:p>
        </w:tc>
        <w:tc>
          <w:tcPr>
            <w:tcW w:w="554" w:type="dxa"/>
          </w:tcPr>
          <w:p w14:paraId="038EA9EC" w14:textId="77777777" w:rsidR="0000140B" w:rsidRPr="00EA49D6" w:rsidRDefault="0000140B" w:rsidP="003C045B">
            <w:pPr>
              <w:jc w:val="center"/>
              <w:rPr>
                <w:rFonts w:ascii="Times New Roman" w:eastAsia="Calibri" w:hAnsi="Times New Roman" w:cs="Times New Roman"/>
                <w:sz w:val="18"/>
                <w:szCs w:val="18"/>
                <w:lang w:val="en-US"/>
              </w:rPr>
            </w:pPr>
          </w:p>
          <w:p w14:paraId="0152B602" w14:textId="222BC0C2"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Article 4</w:t>
            </w:r>
          </w:p>
        </w:tc>
        <w:tc>
          <w:tcPr>
            <w:tcW w:w="5040" w:type="dxa"/>
          </w:tcPr>
          <w:p w14:paraId="5DA75A0D" w14:textId="77777777" w:rsidR="00BC5DCD" w:rsidRPr="00EA49D6" w:rsidRDefault="00BC5DCD" w:rsidP="003C045B">
            <w:pPr>
              <w:jc w:val="center"/>
              <w:rPr>
                <w:rFonts w:ascii="Times New Roman" w:hAnsi="Times New Roman" w:cs="Times New Roman"/>
                <w:color w:val="000000" w:themeColor="text1"/>
                <w:sz w:val="18"/>
                <w:szCs w:val="18"/>
              </w:rPr>
            </w:pPr>
          </w:p>
          <w:p w14:paraId="4822A302" w14:textId="77777777" w:rsidR="00780F53" w:rsidRPr="00EA49D6" w:rsidRDefault="00780F53" w:rsidP="00780F53">
            <w:pPr>
              <w:jc w:val="center"/>
              <w:rPr>
                <w:rFonts w:ascii="Times New Roman" w:hAnsi="Times New Roman" w:cs="Times New Roman"/>
                <w:b/>
                <w:color w:val="000000" w:themeColor="text1"/>
                <w:sz w:val="18"/>
                <w:szCs w:val="18"/>
              </w:rPr>
            </w:pPr>
          </w:p>
          <w:p w14:paraId="4A3671F4" w14:textId="77777777" w:rsidR="00B84C5E" w:rsidRPr="00EA49D6" w:rsidRDefault="00B84C5E" w:rsidP="00B84C5E">
            <w:pPr>
              <w:jc w:val="center"/>
              <w:rPr>
                <w:rFonts w:ascii="Times New Roman" w:hAnsi="Times New Roman" w:cs="Times New Roman"/>
                <w:b/>
                <w:color w:val="000000" w:themeColor="text1"/>
                <w:sz w:val="18"/>
                <w:szCs w:val="18"/>
              </w:rPr>
            </w:pPr>
            <w:r w:rsidRPr="00EA49D6">
              <w:rPr>
                <w:rFonts w:ascii="Times New Roman" w:hAnsi="Times New Roman" w:cs="Times New Roman"/>
                <w:b/>
                <w:color w:val="000000" w:themeColor="text1"/>
                <w:sz w:val="18"/>
                <w:szCs w:val="18"/>
              </w:rPr>
              <w:t>Article 4</w:t>
            </w:r>
          </w:p>
          <w:p w14:paraId="25BE7755" w14:textId="3A84A861" w:rsidR="00B84C5E" w:rsidRPr="00EA49D6" w:rsidRDefault="00B84C5E" w:rsidP="00B84C5E">
            <w:pPr>
              <w:jc w:val="center"/>
              <w:rPr>
                <w:rFonts w:ascii="Times New Roman" w:hAnsi="Times New Roman" w:cs="Times New Roman"/>
                <w:b/>
                <w:color w:val="000000" w:themeColor="text1"/>
                <w:sz w:val="18"/>
                <w:szCs w:val="18"/>
              </w:rPr>
            </w:pPr>
            <w:r w:rsidRPr="00EA49D6">
              <w:rPr>
                <w:rFonts w:ascii="Times New Roman" w:hAnsi="Times New Roman" w:cs="Times New Roman"/>
                <w:b/>
                <w:color w:val="000000" w:themeColor="text1"/>
                <w:sz w:val="18"/>
                <w:szCs w:val="18"/>
              </w:rPr>
              <w:t>Special rule for decisions concerning natural persons</w:t>
            </w:r>
          </w:p>
          <w:p w14:paraId="0E3C6011" w14:textId="77777777" w:rsidR="00B84C5E" w:rsidRPr="00EA49D6" w:rsidRDefault="00B84C5E" w:rsidP="00B84C5E">
            <w:pPr>
              <w:jc w:val="center"/>
              <w:rPr>
                <w:rFonts w:ascii="Times New Roman" w:hAnsi="Times New Roman" w:cs="Times New Roman"/>
                <w:b/>
                <w:color w:val="000000" w:themeColor="text1"/>
                <w:sz w:val="18"/>
                <w:szCs w:val="18"/>
              </w:rPr>
            </w:pPr>
          </w:p>
          <w:p w14:paraId="09BBFF37" w14:textId="1319753D" w:rsidR="00B84C5E" w:rsidRPr="00EA49D6" w:rsidRDefault="00B84C5E" w:rsidP="00B84C5E">
            <w:pPr>
              <w:spacing w:line="276" w:lineRule="auto"/>
              <w:jc w:val="both"/>
              <w:rPr>
                <w:rFonts w:ascii="Times New Roman" w:hAnsi="Times New Roman" w:cs="Times New Roman"/>
                <w:color w:val="000000" w:themeColor="text1"/>
                <w:sz w:val="18"/>
                <w:szCs w:val="18"/>
              </w:rPr>
            </w:pPr>
            <w:r w:rsidRPr="00EA49D6">
              <w:rPr>
                <w:rFonts w:ascii="Times New Roman" w:hAnsi="Times New Roman" w:cs="Times New Roman"/>
                <w:color w:val="000000" w:themeColor="text1"/>
                <w:sz w:val="18"/>
                <w:szCs w:val="18"/>
              </w:rPr>
              <w:t xml:space="preserve">1. By way of exception to the general rule, the automatic exchange of information on advance cross-border rulings relating to natural persons shall be carried out only in cases where the ruling has a significant cross-border impact. The General Directorate of </w:t>
            </w:r>
            <w:r w:rsidR="00D732B4" w:rsidRPr="00EA49D6">
              <w:rPr>
                <w:rFonts w:ascii="Times New Roman" w:hAnsi="Times New Roman" w:cs="Times New Roman"/>
                <w:color w:val="000000" w:themeColor="text1"/>
                <w:sz w:val="18"/>
                <w:szCs w:val="18"/>
              </w:rPr>
              <w:t>Taxation</w:t>
            </w:r>
            <w:r w:rsidRPr="00EA49D6">
              <w:rPr>
                <w:rFonts w:ascii="Times New Roman" w:hAnsi="Times New Roman" w:cs="Times New Roman"/>
                <w:color w:val="000000" w:themeColor="text1"/>
                <w:sz w:val="18"/>
                <w:szCs w:val="18"/>
              </w:rPr>
              <w:t xml:space="preserve"> shall automatically exchange information on an advance cross-border ruling relating to the tax affairs of one or more natural persons only in cases where the ruling was issued, amended or renewed on or after 1 January 2026 and at least one of the following conditions is met:</w:t>
            </w:r>
          </w:p>
          <w:p w14:paraId="67641309" w14:textId="77777777" w:rsidR="00B84C5E" w:rsidRPr="00EA49D6" w:rsidRDefault="00B84C5E" w:rsidP="00B84C5E">
            <w:pPr>
              <w:spacing w:line="276" w:lineRule="auto"/>
              <w:jc w:val="both"/>
              <w:rPr>
                <w:rFonts w:ascii="Times New Roman" w:hAnsi="Times New Roman" w:cs="Times New Roman"/>
                <w:color w:val="000000" w:themeColor="text1"/>
                <w:sz w:val="18"/>
                <w:szCs w:val="18"/>
              </w:rPr>
            </w:pPr>
            <w:r w:rsidRPr="00EA49D6">
              <w:rPr>
                <w:rFonts w:ascii="Times New Roman" w:hAnsi="Times New Roman" w:cs="Times New Roman"/>
                <w:color w:val="000000" w:themeColor="text1"/>
                <w:sz w:val="18"/>
                <w:szCs w:val="18"/>
              </w:rPr>
              <w:t>(a) the amount of the transaction or series of transactions, subject to the decision, exceeds the value of 1,500,000 euros or the equivalent amount in other currencies or in lek;</w:t>
            </w:r>
          </w:p>
          <w:p w14:paraId="16F4BB9E" w14:textId="283DD6BF" w:rsidR="00B84C5E" w:rsidRPr="00EA49D6" w:rsidRDefault="00B84C5E" w:rsidP="00B84C5E">
            <w:pPr>
              <w:spacing w:line="276" w:lineRule="auto"/>
              <w:jc w:val="both"/>
              <w:rPr>
                <w:rFonts w:ascii="Times New Roman" w:hAnsi="Times New Roman" w:cs="Times New Roman"/>
                <w:color w:val="000000" w:themeColor="text1"/>
                <w:sz w:val="18"/>
                <w:szCs w:val="18"/>
              </w:rPr>
            </w:pPr>
            <w:r w:rsidRPr="00EA49D6">
              <w:rPr>
                <w:rFonts w:ascii="Times New Roman" w:hAnsi="Times New Roman" w:cs="Times New Roman"/>
                <w:color w:val="000000" w:themeColor="text1"/>
                <w:sz w:val="18"/>
                <w:szCs w:val="18"/>
              </w:rPr>
              <w:t>(b) the decision determines the residence of a person for tax purposes in the Republic of Albania.</w:t>
            </w:r>
          </w:p>
          <w:p w14:paraId="45CE57AB" w14:textId="6B6C287D" w:rsidR="00B84C5E" w:rsidRPr="00EA49D6" w:rsidRDefault="00B84C5E" w:rsidP="00B84C5E">
            <w:pPr>
              <w:spacing w:line="276" w:lineRule="auto"/>
              <w:jc w:val="both"/>
              <w:rPr>
                <w:rFonts w:ascii="Times New Roman" w:hAnsi="Times New Roman" w:cs="Times New Roman"/>
                <w:color w:val="000000" w:themeColor="text1"/>
                <w:sz w:val="18"/>
                <w:szCs w:val="18"/>
              </w:rPr>
            </w:pPr>
            <w:r w:rsidRPr="00EA49D6">
              <w:rPr>
                <w:rFonts w:ascii="Times New Roman" w:hAnsi="Times New Roman" w:cs="Times New Roman"/>
                <w:color w:val="000000" w:themeColor="text1"/>
                <w:sz w:val="18"/>
                <w:szCs w:val="18"/>
              </w:rPr>
              <w:t xml:space="preserve">2. For </w:t>
            </w:r>
            <w:r w:rsidR="00142D18" w:rsidRPr="00EA49D6">
              <w:rPr>
                <w:rFonts w:ascii="Times New Roman" w:hAnsi="Times New Roman" w:cs="Times New Roman"/>
                <w:color w:val="000000" w:themeColor="text1"/>
                <w:sz w:val="18"/>
                <w:szCs w:val="18"/>
              </w:rPr>
              <w:t xml:space="preserve">the purpose of the </w:t>
            </w:r>
            <w:r w:rsidR="008B18B4" w:rsidRPr="00EA49D6">
              <w:rPr>
                <w:rFonts w:ascii="Times New Roman" w:hAnsi="Times New Roman" w:cs="Times New Roman"/>
                <w:color w:val="000000" w:themeColor="text1"/>
                <w:sz w:val="18"/>
                <w:szCs w:val="18"/>
              </w:rPr>
              <w:t xml:space="preserve">letter a) of the point 1 of this article </w:t>
            </w:r>
            <w:r w:rsidRPr="00EA49D6">
              <w:rPr>
                <w:rFonts w:ascii="Times New Roman" w:hAnsi="Times New Roman" w:cs="Times New Roman"/>
                <w:color w:val="000000" w:themeColor="text1"/>
                <w:sz w:val="18"/>
                <w:szCs w:val="18"/>
              </w:rPr>
              <w:t>and without prejudice to the amount referred to in the advance cross-border ruling</w:t>
            </w:r>
            <w:r w:rsidR="00142D18" w:rsidRPr="00EA49D6">
              <w:rPr>
                <w:rFonts w:ascii="Times New Roman" w:hAnsi="Times New Roman" w:cs="Times New Roman"/>
                <w:color w:val="000000" w:themeColor="text1"/>
                <w:sz w:val="18"/>
                <w:szCs w:val="18"/>
              </w:rPr>
              <w:t>,</w:t>
            </w:r>
            <w:r w:rsidRPr="00EA49D6">
              <w:rPr>
                <w:rFonts w:ascii="Times New Roman" w:hAnsi="Times New Roman" w:cs="Times New Roman"/>
                <w:color w:val="000000" w:themeColor="text1"/>
                <w:sz w:val="18"/>
                <w:szCs w:val="18"/>
              </w:rPr>
              <w:t xml:space="preserve"> in a series of transactions relating to different goods, services or assets, the amount includes the total underlying value. The amounts shall not be aggregated if the same goods, services or assets are transacted several times.</w:t>
            </w:r>
          </w:p>
          <w:p w14:paraId="60C707C5" w14:textId="47CEDAB2" w:rsidR="00BC5DCD" w:rsidRPr="00EA49D6" w:rsidRDefault="00B84C5E" w:rsidP="00B84C5E">
            <w:pPr>
              <w:spacing w:line="276" w:lineRule="auto"/>
              <w:jc w:val="both"/>
              <w:rPr>
                <w:rFonts w:ascii="Times New Roman" w:hAnsi="Times New Roman" w:cs="Times New Roman"/>
                <w:color w:val="000000" w:themeColor="text1"/>
                <w:sz w:val="18"/>
                <w:szCs w:val="18"/>
              </w:rPr>
            </w:pPr>
            <w:r w:rsidRPr="00EA49D6">
              <w:rPr>
                <w:rFonts w:ascii="Times New Roman" w:hAnsi="Times New Roman" w:cs="Times New Roman"/>
                <w:color w:val="000000" w:themeColor="text1"/>
                <w:sz w:val="18"/>
                <w:szCs w:val="18"/>
              </w:rPr>
              <w:t xml:space="preserve">3. The General Directorate of </w:t>
            </w:r>
            <w:r w:rsidR="00D732B4" w:rsidRPr="00EA49D6">
              <w:rPr>
                <w:rFonts w:ascii="Times New Roman" w:hAnsi="Times New Roman" w:cs="Times New Roman"/>
                <w:color w:val="000000" w:themeColor="text1"/>
                <w:sz w:val="18"/>
                <w:szCs w:val="18"/>
              </w:rPr>
              <w:t>Taxation</w:t>
            </w:r>
            <w:r w:rsidRPr="00EA49D6">
              <w:rPr>
                <w:rFonts w:ascii="Times New Roman" w:hAnsi="Times New Roman" w:cs="Times New Roman"/>
                <w:color w:val="000000" w:themeColor="text1"/>
                <w:sz w:val="18"/>
                <w:szCs w:val="18"/>
              </w:rPr>
              <w:t xml:space="preserve"> does not exchange information on decisions regarding natural persons if the decision concerns withholding tax on non-residents' income from employment, directors' fees or pensions.</w:t>
            </w:r>
          </w:p>
          <w:p w14:paraId="0FF9BF8D" w14:textId="613DAAE5" w:rsidR="003C045B" w:rsidRPr="00EA49D6" w:rsidRDefault="003C045B" w:rsidP="00B84C5E">
            <w:pPr>
              <w:spacing w:line="276" w:lineRule="auto"/>
              <w:rPr>
                <w:rFonts w:ascii="Times New Roman" w:hAnsi="Times New Roman" w:cs="Times New Roman"/>
                <w:color w:val="000000" w:themeColor="text1"/>
                <w:sz w:val="18"/>
                <w:szCs w:val="18"/>
              </w:rPr>
            </w:pPr>
          </w:p>
          <w:p w14:paraId="5D1D16DC" w14:textId="382AF9CE" w:rsidR="003C045B" w:rsidRPr="00EA49D6" w:rsidRDefault="003C045B" w:rsidP="00BC5DCD">
            <w:pPr>
              <w:ind w:left="1440"/>
              <w:jc w:val="both"/>
              <w:rPr>
                <w:rFonts w:ascii="Times New Roman" w:eastAsia="Calibri" w:hAnsi="Times New Roman" w:cs="Times New Roman"/>
                <w:sz w:val="18"/>
                <w:szCs w:val="18"/>
                <w:lang w:val="en-US"/>
              </w:rPr>
            </w:pPr>
          </w:p>
        </w:tc>
        <w:tc>
          <w:tcPr>
            <w:tcW w:w="720" w:type="dxa"/>
          </w:tcPr>
          <w:p w14:paraId="4002CF3D" w14:textId="5AD713CE"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F</w:t>
            </w:r>
          </w:p>
        </w:tc>
        <w:tc>
          <w:tcPr>
            <w:tcW w:w="3406" w:type="dxa"/>
          </w:tcPr>
          <w:p w14:paraId="46D529E2" w14:textId="0A5763DF" w:rsidR="003C045B" w:rsidRPr="00EA49D6" w:rsidRDefault="003C045B" w:rsidP="003C045B">
            <w:pPr>
              <w:rPr>
                <w:rFonts w:ascii="Times New Roman" w:eastAsia="Calibri" w:hAnsi="Times New Roman" w:cs="Times New Roman"/>
                <w:sz w:val="18"/>
                <w:szCs w:val="18"/>
                <w:lang w:val="en-US"/>
              </w:rPr>
            </w:pPr>
          </w:p>
        </w:tc>
      </w:tr>
      <w:tr w:rsidR="003C045B" w:rsidRPr="00EA49D6" w14:paraId="26A635EE" w14:textId="77777777" w:rsidTr="003675BD">
        <w:trPr>
          <w:trHeight w:val="1875"/>
        </w:trPr>
        <w:tc>
          <w:tcPr>
            <w:tcW w:w="540" w:type="dxa"/>
          </w:tcPr>
          <w:p w14:paraId="37347107" w14:textId="4D5D7C68" w:rsidR="003C045B" w:rsidRPr="00EA49D6" w:rsidRDefault="003C045B" w:rsidP="003C045B">
            <w:pPr>
              <w:jc w:val="both"/>
              <w:rPr>
                <w:rFonts w:ascii="Times New Roman" w:eastAsia="Calibri" w:hAnsi="Times New Roman" w:cs="Times New Roman"/>
                <w:sz w:val="18"/>
                <w:szCs w:val="18"/>
                <w:lang w:val="en-US"/>
              </w:rPr>
            </w:pPr>
          </w:p>
        </w:tc>
        <w:tc>
          <w:tcPr>
            <w:tcW w:w="5400" w:type="dxa"/>
          </w:tcPr>
          <w:p w14:paraId="4BF05EC2" w14:textId="42F78F6E" w:rsidR="002511E0" w:rsidRPr="00EA49D6" w:rsidRDefault="002511E0" w:rsidP="002511E0">
            <w:pPr>
              <w:shd w:val="clear" w:color="auto" w:fill="FFFFFF"/>
              <w:spacing w:before="120"/>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5. The exchange of information shall take place as follows:</w:t>
            </w:r>
          </w:p>
          <w:p w14:paraId="2F52A938" w14:textId="001EDD8D" w:rsidR="002511E0" w:rsidRPr="00EA49D6" w:rsidRDefault="002511E0" w:rsidP="002511E0">
            <w:pPr>
              <w:shd w:val="clear" w:color="auto" w:fill="FFFFFF"/>
              <w:spacing w:before="120"/>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(a) in respect of information exchanged pursuant to paragraph 1 – without delay after the advance cross-border rulings or advance pricing arrangements have been issued, amended or renewed and at the latest three months following the end of the half of the calendar year during which the advance cross-border rulings or advance pricing arrangements were issued, amended or renewed;</w:t>
            </w:r>
          </w:p>
          <w:p w14:paraId="02F6F541" w14:textId="3B261276" w:rsidR="003C045B" w:rsidRPr="00EA49D6" w:rsidRDefault="002511E0" w:rsidP="002511E0">
            <w:pPr>
              <w:shd w:val="clear" w:color="auto" w:fill="FFFFFF"/>
              <w:spacing w:before="120"/>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(b) in respect of the information exchanged pursuant to paragraph 2 — before 1 January 2018.</w:t>
            </w:r>
          </w:p>
        </w:tc>
        <w:tc>
          <w:tcPr>
            <w:tcW w:w="540" w:type="dxa"/>
          </w:tcPr>
          <w:p w14:paraId="4490F7F0" w14:textId="5E59336E" w:rsidR="003C045B" w:rsidRPr="00EA49D6" w:rsidRDefault="003C045B" w:rsidP="003C045B">
            <w:pPr>
              <w:jc w:val="center"/>
              <w:rPr>
                <w:rFonts w:ascii="Times New Roman" w:eastAsia="Calibri" w:hAnsi="Times New Roman" w:cs="Times New Roman"/>
                <w:sz w:val="18"/>
                <w:szCs w:val="18"/>
              </w:rPr>
            </w:pPr>
          </w:p>
        </w:tc>
        <w:tc>
          <w:tcPr>
            <w:tcW w:w="554" w:type="dxa"/>
          </w:tcPr>
          <w:p w14:paraId="12429AFD" w14:textId="77777777" w:rsidR="0000140B" w:rsidRPr="00EA49D6" w:rsidRDefault="0000140B" w:rsidP="003C045B">
            <w:pPr>
              <w:jc w:val="center"/>
              <w:rPr>
                <w:rFonts w:ascii="Times New Roman" w:eastAsia="Calibri" w:hAnsi="Times New Roman" w:cs="Times New Roman"/>
                <w:sz w:val="18"/>
                <w:szCs w:val="18"/>
                <w:lang w:val="en-US"/>
              </w:rPr>
            </w:pPr>
          </w:p>
          <w:p w14:paraId="3A291DFE" w14:textId="65A8A804"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Article 5</w:t>
            </w:r>
          </w:p>
        </w:tc>
        <w:tc>
          <w:tcPr>
            <w:tcW w:w="5040" w:type="dxa"/>
            <w:tcBorders>
              <w:bottom w:val="dashed" w:sz="4" w:space="0" w:color="auto"/>
            </w:tcBorders>
          </w:tcPr>
          <w:p w14:paraId="0CB73965" w14:textId="77777777" w:rsidR="003C045B" w:rsidRPr="00EA49D6" w:rsidRDefault="003C045B" w:rsidP="003C045B">
            <w:pPr>
              <w:jc w:val="center"/>
              <w:rPr>
                <w:rFonts w:ascii="Times New Roman" w:eastAsia="Times New Roman" w:hAnsi="Times New Roman" w:cs="Times New Roman"/>
                <w:sz w:val="18"/>
                <w:szCs w:val="18"/>
                <w:lang w:eastAsia="sq-AL"/>
              </w:rPr>
            </w:pPr>
          </w:p>
          <w:p w14:paraId="0FFE94FA" w14:textId="77777777" w:rsidR="00E336AC" w:rsidRPr="00EA49D6" w:rsidRDefault="00E336AC" w:rsidP="00E336AC">
            <w:pPr>
              <w:jc w:val="center"/>
              <w:rPr>
                <w:rFonts w:ascii="Times New Roman" w:eastAsia="Calibri" w:hAnsi="Times New Roman" w:cs="Times New Roman"/>
                <w:b/>
                <w:sz w:val="18"/>
                <w:szCs w:val="18"/>
                <w:lang w:val="en-US"/>
              </w:rPr>
            </w:pPr>
            <w:r w:rsidRPr="00EA49D6">
              <w:rPr>
                <w:rFonts w:ascii="Times New Roman" w:eastAsia="Calibri" w:hAnsi="Times New Roman" w:cs="Times New Roman"/>
                <w:b/>
                <w:sz w:val="18"/>
                <w:szCs w:val="18"/>
                <w:lang w:val="en-US"/>
              </w:rPr>
              <w:t>Article 5</w:t>
            </w:r>
          </w:p>
          <w:p w14:paraId="34A60107" w14:textId="1761E51B" w:rsidR="00E336AC" w:rsidRPr="00EA49D6" w:rsidRDefault="00E336AC" w:rsidP="00E336AC">
            <w:pPr>
              <w:jc w:val="center"/>
              <w:rPr>
                <w:rFonts w:ascii="Times New Roman" w:eastAsia="Calibri" w:hAnsi="Times New Roman" w:cs="Times New Roman"/>
                <w:b/>
                <w:sz w:val="18"/>
                <w:szCs w:val="18"/>
                <w:lang w:val="en-US"/>
              </w:rPr>
            </w:pPr>
            <w:r w:rsidRPr="00EA49D6">
              <w:rPr>
                <w:rFonts w:ascii="Times New Roman" w:eastAsia="Calibri" w:hAnsi="Times New Roman" w:cs="Times New Roman"/>
                <w:b/>
                <w:sz w:val="18"/>
                <w:szCs w:val="18"/>
                <w:lang w:val="en-US"/>
              </w:rPr>
              <w:t>Tim</w:t>
            </w:r>
            <w:r w:rsidR="000E09F3" w:rsidRPr="00EA49D6">
              <w:rPr>
                <w:rFonts w:ascii="Times New Roman" w:eastAsia="Calibri" w:hAnsi="Times New Roman" w:cs="Times New Roman"/>
                <w:b/>
                <w:sz w:val="18"/>
                <w:szCs w:val="18"/>
                <w:lang w:val="en-US"/>
              </w:rPr>
              <w:t>ing</w:t>
            </w:r>
            <w:r w:rsidRPr="00EA49D6">
              <w:rPr>
                <w:rFonts w:ascii="Times New Roman" w:eastAsia="Calibri" w:hAnsi="Times New Roman" w:cs="Times New Roman"/>
                <w:b/>
                <w:sz w:val="18"/>
                <w:szCs w:val="18"/>
                <w:lang w:val="en-US"/>
              </w:rPr>
              <w:t xml:space="preserve"> of exchanges</w:t>
            </w:r>
          </w:p>
          <w:p w14:paraId="30C095C7" w14:textId="77777777" w:rsidR="00E336AC" w:rsidRPr="00EA49D6" w:rsidRDefault="00E336AC" w:rsidP="00E336AC">
            <w:pPr>
              <w:jc w:val="both"/>
              <w:rPr>
                <w:rFonts w:ascii="Times New Roman" w:eastAsia="Calibri" w:hAnsi="Times New Roman" w:cs="Times New Roman"/>
                <w:sz w:val="18"/>
                <w:szCs w:val="18"/>
                <w:lang w:val="en-US"/>
              </w:rPr>
            </w:pPr>
          </w:p>
          <w:p w14:paraId="3486BF7E" w14:textId="3E9F887B" w:rsidR="003C045B" w:rsidRPr="00EA49D6" w:rsidRDefault="00B13469" w:rsidP="00E336AC">
            <w:pPr>
              <w:jc w:val="both"/>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 xml:space="preserve">The </w:t>
            </w:r>
            <w:r w:rsidR="00142D18" w:rsidRPr="00EA49D6">
              <w:rPr>
                <w:rFonts w:ascii="Times New Roman" w:hAnsi="Times New Roman" w:cs="Times New Roman"/>
                <w:sz w:val="18"/>
                <w:szCs w:val="18"/>
              </w:rPr>
              <w:t>General Directorate of Taxes shall, without delay, exchange the relevant information within three months following the end of the half-calendar year during which advance cross-border rulings or advance pricing agreements concerning transfer pricing have been issued, amended, or renewed.</w:t>
            </w:r>
          </w:p>
        </w:tc>
        <w:tc>
          <w:tcPr>
            <w:tcW w:w="720" w:type="dxa"/>
            <w:tcBorders>
              <w:bottom w:val="dashed" w:sz="4" w:space="0" w:color="auto"/>
            </w:tcBorders>
          </w:tcPr>
          <w:p w14:paraId="306D02AA" w14:textId="2D34B5E5"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F</w:t>
            </w:r>
          </w:p>
        </w:tc>
        <w:tc>
          <w:tcPr>
            <w:tcW w:w="3406" w:type="dxa"/>
            <w:tcBorders>
              <w:bottom w:val="dashed" w:sz="4" w:space="0" w:color="auto"/>
            </w:tcBorders>
          </w:tcPr>
          <w:p w14:paraId="610C0EF2" w14:textId="6B7DF9D5" w:rsidR="003C045B" w:rsidRPr="00EA49D6" w:rsidRDefault="003C045B" w:rsidP="002826E4">
            <w:pPr>
              <w:rPr>
                <w:rFonts w:ascii="Times New Roman" w:eastAsia="Calibri" w:hAnsi="Times New Roman" w:cs="Times New Roman"/>
                <w:sz w:val="18"/>
                <w:szCs w:val="18"/>
                <w:lang w:val="en-US"/>
              </w:rPr>
            </w:pPr>
          </w:p>
        </w:tc>
      </w:tr>
      <w:tr w:rsidR="003C045B" w:rsidRPr="00EA49D6" w14:paraId="71F4D229" w14:textId="77777777" w:rsidTr="003675BD">
        <w:tc>
          <w:tcPr>
            <w:tcW w:w="540" w:type="dxa"/>
          </w:tcPr>
          <w:p w14:paraId="5E9580EC" w14:textId="38D2E61A" w:rsidR="003C045B" w:rsidRPr="00EA49D6" w:rsidRDefault="003C045B" w:rsidP="003C045B">
            <w:pPr>
              <w:jc w:val="both"/>
              <w:rPr>
                <w:rFonts w:ascii="Times New Roman" w:eastAsia="Calibri" w:hAnsi="Times New Roman" w:cs="Times New Roman"/>
                <w:sz w:val="18"/>
                <w:szCs w:val="18"/>
                <w:lang w:val="en-US"/>
              </w:rPr>
            </w:pPr>
          </w:p>
        </w:tc>
        <w:tc>
          <w:tcPr>
            <w:tcW w:w="5400" w:type="dxa"/>
          </w:tcPr>
          <w:p w14:paraId="48D26E49" w14:textId="17F025E9"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6. The information to be communicated by a Member State pursuant to paragraphs 1 and 2 of this Article shall include the following:</w:t>
            </w:r>
          </w:p>
          <w:p w14:paraId="2C9371C2" w14:textId="64C11EFB"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(a) the identification of the person, other than a natural person, except where the advance-cross border ruling concerns a natural person and shall be communicated pursuant to paragraphs 1 and 4, and where appropriate the group of persons to which it belongs;</w:t>
            </w:r>
          </w:p>
          <w:p w14:paraId="0CE146B8" w14:textId="40979E70"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(b) a summary of the advance cross-border ruling or advance pricing arrangement, including a description of the relevant business activities or transactions or series of transactions and any other information that could assist the competent authority in assessing a potential tax risk, without leading to the disclosure of a commercial, industrial or professional secret or of a commercial process, or of information whose disclosure would be contrary to public policy;</w:t>
            </w:r>
          </w:p>
          <w:p w14:paraId="54C9F80A" w14:textId="0946578E"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(c) the dates of issuance, amendment or renewal of the advance cross-border ruling or advance pricing arrangement;</w:t>
            </w:r>
          </w:p>
          <w:p w14:paraId="06425CBF" w14:textId="40E9215A"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(d) the start date of the period of validity of the advance cross-border ruling or advance pricing arrangement, if specified;</w:t>
            </w:r>
          </w:p>
          <w:p w14:paraId="33B89AA7" w14:textId="4AB15841"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(e) the end date of the period of validity of the advance cross-border ruling or advance pricing arrangement, if specified;</w:t>
            </w:r>
          </w:p>
          <w:p w14:paraId="70FF5024" w14:textId="1093984C"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(f) the type of the advance cross-border ruling or advance pricing arrangement;</w:t>
            </w:r>
          </w:p>
          <w:p w14:paraId="274BDB3C" w14:textId="7E3D72F2"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(g) the amount of the transaction or series of transactions of the advance cross-border ruling or advance pricing arrangement if such amount is referred to in the advance cross-border ruling or advance pricing arrangement;</w:t>
            </w:r>
          </w:p>
          <w:p w14:paraId="083FE9A8" w14:textId="3B45C258"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lastRenderedPageBreak/>
              <w:t>(h) the description of the set of criteria used for the determination of the transfer pricing or the transfer price itself in the case of an advance pricing arrangement;</w:t>
            </w:r>
          </w:p>
          <w:p w14:paraId="2AF1F5DB" w14:textId="06A09D6E"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(i) the identification of the method used for determination of the transfer pricing or the transfer price itself in the case of an advance pricing arrangement;</w:t>
            </w:r>
          </w:p>
          <w:p w14:paraId="45C8E4DA" w14:textId="5AC43763"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(j) the identification of the other Member States, if any, likely to be concerned by the advance cross-border ruling or advance pricing arrangement;</w:t>
            </w:r>
          </w:p>
          <w:p w14:paraId="57DDD96F" w14:textId="348DB42C"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(k) the identification of any person, other than a natural person, except where the advance-cross border ruling concerns a natural person and shall be communicated pursuant to paragraphs 1 and 4, in the other Member States, if any, likely to be affected by the advance cross-border ruling, or advance pricing arrangement (indicating to which Member States the affected persons are linked); and</w:t>
            </w:r>
          </w:p>
          <w:p w14:paraId="675716DA" w14:textId="2F800BC2" w:rsidR="00B167C6"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(l) the indication whether the information communicated is based upon the advance cross-border ruling or advance pricing arrangement itself or upon the request referred to in the second subparagraph of paragraph 3 of this Article.</w:t>
            </w:r>
          </w:p>
          <w:p w14:paraId="287FB5C7" w14:textId="41F6609D" w:rsidR="003C045B" w:rsidRPr="00EA49D6" w:rsidRDefault="003C045B" w:rsidP="00F82F30">
            <w:pPr>
              <w:pStyle w:val="Heading2"/>
              <w:spacing w:before="0" w:after="120" w:line="288" w:lineRule="atLeast"/>
              <w:rPr>
                <w:rFonts w:ascii="Times New Roman" w:eastAsia="Calibri" w:hAnsi="Times New Roman" w:cs="Times New Roman"/>
                <w:iCs/>
                <w:sz w:val="18"/>
                <w:szCs w:val="18"/>
                <w:lang w:val="en-US"/>
              </w:rPr>
            </w:pPr>
          </w:p>
        </w:tc>
        <w:tc>
          <w:tcPr>
            <w:tcW w:w="540" w:type="dxa"/>
          </w:tcPr>
          <w:p w14:paraId="4801E7A0" w14:textId="1D4E9A6D" w:rsidR="003C045B" w:rsidRPr="00EA49D6" w:rsidRDefault="003C045B" w:rsidP="003C045B">
            <w:pPr>
              <w:jc w:val="center"/>
              <w:rPr>
                <w:rFonts w:ascii="Times New Roman" w:eastAsia="Calibri" w:hAnsi="Times New Roman" w:cs="Times New Roman"/>
                <w:sz w:val="18"/>
                <w:szCs w:val="18"/>
              </w:rPr>
            </w:pPr>
          </w:p>
        </w:tc>
        <w:tc>
          <w:tcPr>
            <w:tcW w:w="554" w:type="dxa"/>
          </w:tcPr>
          <w:p w14:paraId="6B5BB182" w14:textId="77777777" w:rsidR="0000140B" w:rsidRPr="00EA49D6" w:rsidRDefault="0000140B" w:rsidP="003C045B">
            <w:pPr>
              <w:jc w:val="center"/>
              <w:rPr>
                <w:rFonts w:ascii="Times New Roman" w:eastAsia="Calibri" w:hAnsi="Times New Roman" w:cs="Times New Roman"/>
                <w:sz w:val="18"/>
                <w:szCs w:val="18"/>
                <w:lang w:val="en-US"/>
              </w:rPr>
            </w:pPr>
          </w:p>
          <w:p w14:paraId="6BB648EA" w14:textId="2040A737"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Article 7</w:t>
            </w:r>
          </w:p>
        </w:tc>
        <w:tc>
          <w:tcPr>
            <w:tcW w:w="5040" w:type="dxa"/>
          </w:tcPr>
          <w:p w14:paraId="6F33554E" w14:textId="77777777" w:rsidR="003C045B" w:rsidRPr="00EA49D6" w:rsidRDefault="003C045B" w:rsidP="003C045B">
            <w:pPr>
              <w:spacing w:before="120"/>
              <w:jc w:val="both"/>
              <w:rPr>
                <w:rFonts w:ascii="Times New Roman" w:eastAsia="Times New Roman" w:hAnsi="Times New Roman" w:cs="Times New Roman"/>
                <w:sz w:val="18"/>
                <w:szCs w:val="18"/>
                <w:lang w:eastAsia="sq-AL"/>
              </w:rPr>
            </w:pPr>
          </w:p>
          <w:p w14:paraId="23294A6F" w14:textId="77777777" w:rsidR="00766BAF" w:rsidRPr="00EA49D6" w:rsidRDefault="00766BAF" w:rsidP="00A235BE">
            <w:pPr>
              <w:spacing w:line="276" w:lineRule="auto"/>
              <w:ind w:left="720"/>
              <w:jc w:val="center"/>
              <w:rPr>
                <w:rFonts w:ascii="Times New Roman" w:eastAsia="Calibri" w:hAnsi="Times New Roman" w:cs="Times New Roman"/>
                <w:b/>
                <w:sz w:val="18"/>
                <w:szCs w:val="18"/>
                <w:lang w:val="en-US"/>
              </w:rPr>
            </w:pPr>
            <w:r w:rsidRPr="00EA49D6">
              <w:rPr>
                <w:rFonts w:ascii="Times New Roman" w:eastAsia="Calibri" w:hAnsi="Times New Roman" w:cs="Times New Roman"/>
                <w:b/>
                <w:sz w:val="18"/>
                <w:szCs w:val="18"/>
                <w:lang w:val="en-US"/>
              </w:rPr>
              <w:t>Article 7</w:t>
            </w:r>
          </w:p>
          <w:p w14:paraId="7D4249FB" w14:textId="02194631" w:rsidR="00E336AC" w:rsidRPr="00EA49D6" w:rsidRDefault="00766BAF" w:rsidP="00A235BE">
            <w:pPr>
              <w:spacing w:line="276" w:lineRule="auto"/>
              <w:ind w:left="720"/>
              <w:jc w:val="center"/>
              <w:rPr>
                <w:rFonts w:ascii="Times New Roman" w:eastAsia="Calibri" w:hAnsi="Times New Roman" w:cs="Times New Roman"/>
                <w:b/>
                <w:sz w:val="18"/>
                <w:szCs w:val="18"/>
                <w:lang w:val="en-US"/>
              </w:rPr>
            </w:pPr>
            <w:r w:rsidRPr="00EA49D6">
              <w:rPr>
                <w:rFonts w:ascii="Times New Roman" w:eastAsia="Calibri" w:hAnsi="Times New Roman" w:cs="Times New Roman"/>
                <w:b/>
                <w:sz w:val="18"/>
                <w:szCs w:val="18"/>
                <w:lang w:val="en-US"/>
              </w:rPr>
              <w:t>Content of the Information to be exchanged</w:t>
            </w:r>
          </w:p>
          <w:p w14:paraId="538313E5" w14:textId="0368F9F1" w:rsidR="00766BAF" w:rsidRPr="00EA49D6" w:rsidRDefault="00DD3DA4" w:rsidP="0000140B">
            <w:pPr>
              <w:spacing w:before="100" w:beforeAutospacing="1" w:after="100" w:afterAutospacing="1"/>
              <w:ind w:left="61"/>
              <w:jc w:val="both"/>
              <w:rPr>
                <w:rFonts w:ascii="Times New Roman" w:hAnsi="Times New Roman" w:cs="Times New Roman"/>
                <w:sz w:val="18"/>
                <w:szCs w:val="18"/>
              </w:rPr>
            </w:pPr>
            <w:r w:rsidRPr="00EA49D6">
              <w:rPr>
                <w:rFonts w:ascii="Times New Roman" w:hAnsi="Times New Roman" w:cs="Times New Roman"/>
                <w:sz w:val="18"/>
                <w:szCs w:val="18"/>
              </w:rPr>
              <w:t>The General Directorate of Taxes shall provide the competent authorities of the other Member States with at least the following information, to the extent applicable and in accordance with the rules on confidentiality</w:t>
            </w:r>
            <w:r w:rsidR="00766BAF" w:rsidRPr="00EA49D6">
              <w:rPr>
                <w:rFonts w:ascii="Times New Roman" w:hAnsi="Times New Roman" w:cs="Times New Roman"/>
                <w:sz w:val="18"/>
                <w:szCs w:val="18"/>
              </w:rPr>
              <w:t xml:space="preserve">: </w:t>
            </w:r>
          </w:p>
          <w:p w14:paraId="669F10FB" w14:textId="457898BB" w:rsidR="00766BAF" w:rsidRPr="00EA49D6" w:rsidRDefault="00766BAF" w:rsidP="00A235BE">
            <w:pPr>
              <w:pStyle w:val="NormalWeb"/>
              <w:jc w:val="both"/>
              <w:rPr>
                <w:sz w:val="18"/>
                <w:szCs w:val="18"/>
              </w:rPr>
            </w:pPr>
            <w:r w:rsidRPr="00EA49D6">
              <w:rPr>
                <w:sz w:val="18"/>
                <w:szCs w:val="18"/>
              </w:rPr>
              <w:t xml:space="preserve">a) the identification of the person, other than a natural person, except where the advance cross-border ruling concerns a natural person and shall be communicated in accordance with </w:t>
            </w:r>
            <w:r w:rsidR="000F11F8" w:rsidRPr="00EA49D6">
              <w:rPr>
                <w:sz w:val="18"/>
                <w:szCs w:val="18"/>
              </w:rPr>
              <w:t xml:space="preserve">points s </w:t>
            </w:r>
            <w:r w:rsidRPr="00EA49D6">
              <w:rPr>
                <w:sz w:val="18"/>
                <w:szCs w:val="18"/>
              </w:rPr>
              <w:t>1 and 4</w:t>
            </w:r>
            <w:r w:rsidR="000F11F8" w:rsidRPr="00EA49D6">
              <w:rPr>
                <w:sz w:val="18"/>
                <w:szCs w:val="18"/>
              </w:rPr>
              <w:t xml:space="preserve"> of this article</w:t>
            </w:r>
            <w:r w:rsidRPr="00EA49D6">
              <w:rPr>
                <w:sz w:val="18"/>
                <w:szCs w:val="18"/>
              </w:rPr>
              <w:t>, and, where appropriate, the group of persons to which it belongs;</w:t>
            </w:r>
          </w:p>
          <w:p w14:paraId="7F5B5063" w14:textId="77777777" w:rsidR="00766BAF" w:rsidRPr="00EA49D6" w:rsidRDefault="00766BAF" w:rsidP="00A235BE">
            <w:pPr>
              <w:pStyle w:val="NormalWeb"/>
              <w:jc w:val="both"/>
              <w:rPr>
                <w:sz w:val="18"/>
                <w:szCs w:val="18"/>
              </w:rPr>
            </w:pPr>
            <w:r w:rsidRPr="00EA49D6">
              <w:rPr>
                <w:sz w:val="18"/>
                <w:szCs w:val="18"/>
              </w:rPr>
              <w:t>b) a summary of the ruling/Advance Pricing Agreement, including a description of the relevant business activities or transactions or series of transactions and any other information that could assist the competent authority in assessing a potential tax risk, without leading to the disclosure of a commercial, industrial or professional secret, or of a commercial process, or of information the disclosure of which would be contrary to public policy;</w:t>
            </w:r>
          </w:p>
          <w:p w14:paraId="6D27D2AF" w14:textId="77777777" w:rsidR="00766BAF" w:rsidRPr="00EA49D6" w:rsidRDefault="00766BAF" w:rsidP="00A235BE">
            <w:pPr>
              <w:pStyle w:val="NormalWeb"/>
              <w:jc w:val="both"/>
              <w:rPr>
                <w:sz w:val="18"/>
                <w:szCs w:val="18"/>
              </w:rPr>
            </w:pPr>
            <w:r w:rsidRPr="00EA49D6">
              <w:rPr>
                <w:sz w:val="18"/>
                <w:szCs w:val="18"/>
              </w:rPr>
              <w:t>c) the dates of issuance, amendment or renewal of the advance cross-border ruling or Advance Pricing Agreement;</w:t>
            </w:r>
          </w:p>
          <w:p w14:paraId="2BCA72FF" w14:textId="77777777" w:rsidR="00766BAF" w:rsidRPr="00EA49D6" w:rsidRDefault="00766BAF" w:rsidP="00A235BE">
            <w:pPr>
              <w:pStyle w:val="NormalWeb"/>
              <w:jc w:val="both"/>
              <w:rPr>
                <w:sz w:val="18"/>
                <w:szCs w:val="18"/>
              </w:rPr>
            </w:pPr>
            <w:r w:rsidRPr="00EA49D6">
              <w:rPr>
                <w:sz w:val="18"/>
                <w:szCs w:val="18"/>
              </w:rPr>
              <w:t>d) the date of commencement of the validity period of the advance cross-border ruling/Advance Pricing Agreement, if specified;</w:t>
            </w:r>
          </w:p>
          <w:p w14:paraId="10AA5803" w14:textId="77777777" w:rsidR="00766BAF" w:rsidRPr="00EA49D6" w:rsidRDefault="00766BAF" w:rsidP="00A235BE">
            <w:pPr>
              <w:pStyle w:val="NormalWeb"/>
              <w:jc w:val="both"/>
              <w:rPr>
                <w:sz w:val="18"/>
                <w:szCs w:val="18"/>
              </w:rPr>
            </w:pPr>
            <w:r w:rsidRPr="00EA49D6">
              <w:rPr>
                <w:sz w:val="18"/>
                <w:szCs w:val="18"/>
              </w:rPr>
              <w:t>e) the date of expiry of the validity period of the advance cross-border ruling/Advance Pricing Agreement, if specified;</w:t>
            </w:r>
          </w:p>
          <w:p w14:paraId="58DD67EF" w14:textId="77777777" w:rsidR="00A45944" w:rsidRPr="00EA49D6" w:rsidRDefault="00766BAF" w:rsidP="00A235BE">
            <w:pPr>
              <w:pStyle w:val="NormalWeb"/>
              <w:jc w:val="both"/>
              <w:rPr>
                <w:sz w:val="18"/>
                <w:szCs w:val="18"/>
              </w:rPr>
            </w:pPr>
            <w:r w:rsidRPr="00EA49D6">
              <w:rPr>
                <w:sz w:val="18"/>
                <w:szCs w:val="18"/>
              </w:rPr>
              <w:t>f) the type of advance cross-border ruling/Advance Pricing Agreement;</w:t>
            </w:r>
          </w:p>
          <w:p w14:paraId="649A82F5" w14:textId="44C51C59" w:rsidR="00766BAF" w:rsidRPr="00EA49D6" w:rsidRDefault="00766BAF" w:rsidP="00A235BE">
            <w:pPr>
              <w:pStyle w:val="NormalWeb"/>
              <w:jc w:val="both"/>
              <w:rPr>
                <w:sz w:val="18"/>
                <w:szCs w:val="18"/>
              </w:rPr>
            </w:pPr>
            <w:r w:rsidRPr="00EA49D6">
              <w:rPr>
                <w:sz w:val="18"/>
                <w:szCs w:val="18"/>
              </w:rPr>
              <w:t>g) the amount of the transaction or series of transactions, if referred to in the ruling or agreement;</w:t>
            </w:r>
          </w:p>
          <w:p w14:paraId="169ED2CA" w14:textId="3E882ACE" w:rsidR="00766BAF" w:rsidRPr="00EA49D6" w:rsidRDefault="00766BAF" w:rsidP="00A235BE">
            <w:pPr>
              <w:pStyle w:val="NormalWeb"/>
              <w:jc w:val="both"/>
              <w:rPr>
                <w:sz w:val="18"/>
                <w:szCs w:val="18"/>
              </w:rPr>
            </w:pPr>
            <w:r w:rsidRPr="00EA49D6">
              <w:rPr>
                <w:sz w:val="18"/>
                <w:szCs w:val="18"/>
              </w:rPr>
              <w:lastRenderedPageBreak/>
              <w:t xml:space="preserve">h) </w:t>
            </w:r>
            <w:r w:rsidR="000F11F8" w:rsidRPr="00EA49D6">
              <w:rPr>
                <w:sz w:val="18"/>
                <w:szCs w:val="18"/>
              </w:rPr>
              <w:t>in the case of Advance Pricing Agreements, a description of the criteria and methodology used for determining the transfer pricing.</w:t>
            </w:r>
            <w:r w:rsidRPr="00EA49D6">
              <w:rPr>
                <w:sz w:val="18"/>
                <w:szCs w:val="18"/>
              </w:rPr>
              <w:t>;</w:t>
            </w:r>
          </w:p>
          <w:p w14:paraId="6609446E" w14:textId="77777777" w:rsidR="00766BAF" w:rsidRPr="00EA49D6" w:rsidRDefault="00766BAF" w:rsidP="00A235BE">
            <w:pPr>
              <w:pStyle w:val="NormalWeb"/>
              <w:jc w:val="both"/>
              <w:rPr>
                <w:sz w:val="18"/>
                <w:szCs w:val="18"/>
              </w:rPr>
            </w:pPr>
            <w:r w:rsidRPr="00EA49D6">
              <w:rPr>
                <w:sz w:val="18"/>
                <w:szCs w:val="18"/>
              </w:rPr>
              <w:t>i) the identification of the method used for determining the transfer pricing, in the case of an Advance Pricing Agreement;</w:t>
            </w:r>
          </w:p>
          <w:p w14:paraId="0C9320E2" w14:textId="77777777" w:rsidR="00766BAF" w:rsidRPr="00EA49D6" w:rsidRDefault="00766BAF" w:rsidP="00A235BE">
            <w:pPr>
              <w:pStyle w:val="NormalWeb"/>
              <w:jc w:val="both"/>
              <w:rPr>
                <w:sz w:val="18"/>
                <w:szCs w:val="18"/>
              </w:rPr>
            </w:pPr>
            <w:r w:rsidRPr="00EA49D6">
              <w:rPr>
                <w:sz w:val="18"/>
                <w:szCs w:val="18"/>
              </w:rPr>
              <w:t>j) the identification of the Member States, if any, likely to be affected by the advance cross-border ruling or the Advance Pricing Agreement;</w:t>
            </w:r>
          </w:p>
          <w:p w14:paraId="03612751" w14:textId="54C49964" w:rsidR="00766BAF" w:rsidRPr="00EA49D6" w:rsidRDefault="00766BAF" w:rsidP="00A235BE">
            <w:pPr>
              <w:pStyle w:val="NormalWeb"/>
              <w:jc w:val="both"/>
              <w:rPr>
                <w:sz w:val="18"/>
                <w:szCs w:val="18"/>
              </w:rPr>
            </w:pPr>
            <w:r w:rsidRPr="00EA49D6">
              <w:rPr>
                <w:sz w:val="18"/>
                <w:szCs w:val="18"/>
              </w:rPr>
              <w:t xml:space="preserve">k) the identification of any person, other than a natural person, except where the advance cross-border ruling concerns a natural person and shall be communicated in accordance with </w:t>
            </w:r>
            <w:r w:rsidR="00746C07" w:rsidRPr="00EA49D6">
              <w:rPr>
                <w:sz w:val="18"/>
                <w:szCs w:val="18"/>
              </w:rPr>
              <w:t xml:space="preserve">points </w:t>
            </w:r>
            <w:r w:rsidRPr="00EA49D6">
              <w:rPr>
                <w:sz w:val="18"/>
                <w:szCs w:val="18"/>
              </w:rPr>
              <w:t>1 and 4</w:t>
            </w:r>
            <w:r w:rsidR="00746C07" w:rsidRPr="00EA49D6">
              <w:rPr>
                <w:sz w:val="18"/>
                <w:szCs w:val="18"/>
              </w:rPr>
              <w:t xml:space="preserve"> of this article</w:t>
            </w:r>
            <w:r w:rsidRPr="00EA49D6">
              <w:rPr>
                <w:sz w:val="18"/>
                <w:szCs w:val="18"/>
              </w:rPr>
              <w:t>, in other Member States, if any, likely to be affected by the advance cross-border ruling or the Advance Pricing Agreement (indicating to which Member States the affected persons are linked); and</w:t>
            </w:r>
          </w:p>
          <w:p w14:paraId="412DFE28" w14:textId="153D6759" w:rsidR="00766BAF" w:rsidRPr="00EA49D6" w:rsidRDefault="00766BAF" w:rsidP="00A235BE">
            <w:pPr>
              <w:pStyle w:val="NormalWeb"/>
              <w:jc w:val="both"/>
              <w:rPr>
                <w:sz w:val="18"/>
                <w:szCs w:val="18"/>
              </w:rPr>
            </w:pPr>
            <w:r w:rsidRPr="00EA49D6">
              <w:rPr>
                <w:sz w:val="18"/>
                <w:szCs w:val="18"/>
              </w:rPr>
              <w:t xml:space="preserve">l) an indication as to whether the communicated information is based on the advance cross-border ruling itself or the Advance Pricing Agreement itself, or on a request pursuant to </w:t>
            </w:r>
            <w:r w:rsidR="008B18B4" w:rsidRPr="00EA49D6">
              <w:rPr>
                <w:sz w:val="18"/>
                <w:szCs w:val="18"/>
              </w:rPr>
              <w:t xml:space="preserve">lettwr f) of </w:t>
            </w:r>
            <w:r w:rsidRPr="00EA49D6">
              <w:rPr>
                <w:sz w:val="18"/>
                <w:szCs w:val="18"/>
              </w:rPr>
              <w:t>Article 3.</w:t>
            </w:r>
          </w:p>
          <w:p w14:paraId="1C7C130F" w14:textId="76A532AA" w:rsidR="00766BAF" w:rsidRPr="00EA49D6" w:rsidRDefault="00EA49D6" w:rsidP="00EA49D6">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 xml:space="preserve">2. </w:t>
            </w:r>
            <w:r w:rsidR="00766BAF" w:rsidRPr="00EA49D6">
              <w:rPr>
                <w:rFonts w:ascii="Times New Roman" w:hAnsi="Times New Roman" w:cs="Times New Roman"/>
                <w:sz w:val="18"/>
                <w:szCs w:val="18"/>
              </w:rPr>
              <w:t xml:space="preserve">For tax periods beginning on or after the date of application of this law, the General Directorate of </w:t>
            </w:r>
            <w:r w:rsidR="00D732B4" w:rsidRPr="00EA49D6">
              <w:rPr>
                <w:rFonts w:ascii="Times New Roman" w:hAnsi="Times New Roman" w:cs="Times New Roman"/>
                <w:sz w:val="18"/>
                <w:szCs w:val="18"/>
              </w:rPr>
              <w:t>Taxation</w:t>
            </w:r>
            <w:r w:rsidR="00766BAF" w:rsidRPr="00EA49D6">
              <w:rPr>
                <w:rFonts w:ascii="Times New Roman" w:hAnsi="Times New Roman" w:cs="Times New Roman"/>
                <w:sz w:val="18"/>
                <w:szCs w:val="18"/>
              </w:rPr>
              <w:t xml:space="preserve"> shall include, where available, the TINs of the persons identified in </w:t>
            </w:r>
            <w:r w:rsidR="008B18B4" w:rsidRPr="00EA49D6">
              <w:rPr>
                <w:rFonts w:ascii="Times New Roman" w:hAnsi="Times New Roman" w:cs="Times New Roman"/>
                <w:sz w:val="18"/>
                <w:szCs w:val="18"/>
              </w:rPr>
              <w:t xml:space="preserve">letters  </w:t>
            </w:r>
            <w:r w:rsidR="00766BAF" w:rsidRPr="00EA49D6">
              <w:rPr>
                <w:rFonts w:ascii="Times New Roman" w:hAnsi="Times New Roman" w:cs="Times New Roman"/>
                <w:sz w:val="18"/>
                <w:szCs w:val="18"/>
              </w:rPr>
              <w:t>(a) and (k)</w:t>
            </w:r>
            <w:r w:rsidR="008B18B4" w:rsidRPr="00EA49D6">
              <w:rPr>
                <w:rFonts w:ascii="Times New Roman" w:hAnsi="Times New Roman" w:cs="Times New Roman"/>
                <w:sz w:val="18"/>
                <w:szCs w:val="18"/>
              </w:rPr>
              <w:t xml:space="preserve"> of point 1 of this article</w:t>
            </w:r>
            <w:r w:rsidR="00766BAF" w:rsidRPr="00EA49D6">
              <w:rPr>
                <w:rFonts w:ascii="Times New Roman" w:hAnsi="Times New Roman" w:cs="Times New Roman"/>
                <w:sz w:val="18"/>
                <w:szCs w:val="18"/>
              </w:rPr>
              <w:t>.</w:t>
            </w:r>
          </w:p>
          <w:p w14:paraId="7D756BBF" w14:textId="0833E0A8" w:rsidR="00905100" w:rsidRPr="00EA49D6" w:rsidRDefault="00766BAF" w:rsidP="00E336AC">
            <w:pPr>
              <w:spacing w:line="276" w:lineRule="auto"/>
              <w:ind w:left="720"/>
              <w:jc w:val="both"/>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 xml:space="preserve"> </w:t>
            </w:r>
          </w:p>
          <w:p w14:paraId="5C32E16F" w14:textId="77777777" w:rsidR="00E336AC" w:rsidRPr="00EA49D6" w:rsidRDefault="00E336AC" w:rsidP="00E336AC">
            <w:pPr>
              <w:spacing w:line="276" w:lineRule="auto"/>
              <w:ind w:left="720"/>
              <w:jc w:val="both"/>
              <w:rPr>
                <w:rFonts w:ascii="Times New Roman" w:eastAsia="Calibri" w:hAnsi="Times New Roman" w:cs="Times New Roman"/>
                <w:sz w:val="18"/>
                <w:szCs w:val="18"/>
                <w:lang w:val="en-US"/>
              </w:rPr>
            </w:pPr>
          </w:p>
          <w:p w14:paraId="2C06A67A" w14:textId="77777777" w:rsidR="00E336AC" w:rsidRPr="00EA49D6" w:rsidRDefault="00E336AC" w:rsidP="00E336AC">
            <w:pPr>
              <w:spacing w:line="276" w:lineRule="auto"/>
              <w:ind w:left="720"/>
              <w:jc w:val="both"/>
              <w:rPr>
                <w:rFonts w:ascii="Times New Roman" w:eastAsia="Calibri" w:hAnsi="Times New Roman" w:cs="Times New Roman"/>
                <w:sz w:val="18"/>
                <w:szCs w:val="18"/>
                <w:lang w:val="en-US"/>
              </w:rPr>
            </w:pPr>
          </w:p>
          <w:p w14:paraId="67996D8C" w14:textId="77777777" w:rsidR="00E336AC" w:rsidRPr="00EA49D6" w:rsidRDefault="00E336AC" w:rsidP="00E336AC">
            <w:pPr>
              <w:spacing w:line="276" w:lineRule="auto"/>
              <w:ind w:left="720"/>
              <w:jc w:val="both"/>
              <w:rPr>
                <w:rFonts w:ascii="Times New Roman" w:eastAsia="Calibri" w:hAnsi="Times New Roman" w:cs="Times New Roman"/>
                <w:sz w:val="18"/>
                <w:szCs w:val="18"/>
                <w:lang w:val="en-US"/>
              </w:rPr>
            </w:pPr>
          </w:p>
          <w:p w14:paraId="70628973" w14:textId="77777777" w:rsidR="00E336AC" w:rsidRPr="00EA49D6" w:rsidRDefault="00E336AC" w:rsidP="00E336AC">
            <w:pPr>
              <w:spacing w:line="276" w:lineRule="auto"/>
              <w:ind w:left="720"/>
              <w:jc w:val="both"/>
              <w:rPr>
                <w:rFonts w:ascii="Times New Roman" w:eastAsia="Calibri" w:hAnsi="Times New Roman" w:cs="Times New Roman"/>
                <w:sz w:val="18"/>
                <w:szCs w:val="18"/>
                <w:lang w:val="en-US"/>
              </w:rPr>
            </w:pPr>
          </w:p>
          <w:p w14:paraId="2316CA17" w14:textId="77777777" w:rsidR="00E336AC" w:rsidRPr="00EA49D6" w:rsidRDefault="00E336AC" w:rsidP="00905100">
            <w:pPr>
              <w:spacing w:line="276" w:lineRule="auto"/>
              <w:jc w:val="both"/>
              <w:rPr>
                <w:rFonts w:ascii="Times New Roman" w:eastAsia="Calibri" w:hAnsi="Times New Roman" w:cs="Times New Roman"/>
                <w:sz w:val="18"/>
                <w:szCs w:val="18"/>
                <w:lang w:val="en-US"/>
              </w:rPr>
            </w:pPr>
          </w:p>
          <w:p w14:paraId="611E2320" w14:textId="06C7249F" w:rsidR="00E336AC" w:rsidRPr="00EA49D6" w:rsidRDefault="00E336AC" w:rsidP="00E336AC">
            <w:pPr>
              <w:spacing w:line="276" w:lineRule="auto"/>
              <w:jc w:val="both"/>
              <w:rPr>
                <w:rFonts w:ascii="Times New Roman" w:eastAsia="Calibri" w:hAnsi="Times New Roman" w:cs="Times New Roman"/>
                <w:sz w:val="18"/>
                <w:szCs w:val="18"/>
                <w:lang w:val="en-US"/>
              </w:rPr>
            </w:pPr>
          </w:p>
        </w:tc>
        <w:tc>
          <w:tcPr>
            <w:tcW w:w="720" w:type="dxa"/>
          </w:tcPr>
          <w:p w14:paraId="5C366860" w14:textId="4E197F88" w:rsidR="003C045B" w:rsidRPr="00EA49D6" w:rsidRDefault="00EC4617"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lastRenderedPageBreak/>
              <w:t>F</w:t>
            </w:r>
          </w:p>
        </w:tc>
        <w:tc>
          <w:tcPr>
            <w:tcW w:w="3406" w:type="dxa"/>
          </w:tcPr>
          <w:p w14:paraId="735C3D58" w14:textId="77777777" w:rsidR="00B167C6" w:rsidRPr="00EA49D6" w:rsidRDefault="00B167C6" w:rsidP="00B167C6">
            <w:pPr>
              <w:rPr>
                <w:rFonts w:ascii="Times New Roman" w:eastAsia="Calibri" w:hAnsi="Times New Roman" w:cs="Times New Roman"/>
                <w:sz w:val="18"/>
                <w:szCs w:val="18"/>
                <w:lang w:val="en-US"/>
              </w:rPr>
            </w:pPr>
          </w:p>
          <w:p w14:paraId="2C4BC5ED" w14:textId="2CF84113" w:rsidR="003C045B" w:rsidRPr="00EA49D6" w:rsidRDefault="003C045B" w:rsidP="00B167C6">
            <w:pPr>
              <w:rPr>
                <w:rFonts w:ascii="Times New Roman" w:eastAsia="Calibri" w:hAnsi="Times New Roman" w:cs="Times New Roman"/>
                <w:sz w:val="18"/>
                <w:szCs w:val="18"/>
                <w:lang w:val="en-US"/>
              </w:rPr>
            </w:pPr>
          </w:p>
        </w:tc>
      </w:tr>
      <w:tr w:rsidR="002511E0" w:rsidRPr="00EA49D6" w14:paraId="4AFFC5F4" w14:textId="77777777" w:rsidTr="003675BD">
        <w:tc>
          <w:tcPr>
            <w:tcW w:w="540" w:type="dxa"/>
          </w:tcPr>
          <w:p w14:paraId="7986B8CE" w14:textId="77777777" w:rsidR="002511E0" w:rsidRPr="00EA49D6" w:rsidRDefault="002511E0" w:rsidP="003C045B">
            <w:pPr>
              <w:jc w:val="both"/>
              <w:rPr>
                <w:rFonts w:ascii="Times New Roman" w:eastAsia="Calibri" w:hAnsi="Times New Roman" w:cs="Times New Roman"/>
                <w:sz w:val="18"/>
                <w:szCs w:val="18"/>
              </w:rPr>
            </w:pPr>
          </w:p>
        </w:tc>
        <w:tc>
          <w:tcPr>
            <w:tcW w:w="5400" w:type="dxa"/>
          </w:tcPr>
          <w:p w14:paraId="406CB47E" w14:textId="69A47F6A" w:rsidR="002511E0" w:rsidRPr="00EA49D6" w:rsidRDefault="002511E0" w:rsidP="002511E0">
            <w:pPr>
              <w:pStyle w:val="Heading2"/>
              <w:spacing w:after="120" w:line="288" w:lineRule="atLeast"/>
              <w:rPr>
                <w:rStyle w:val="legamendingtext"/>
                <w:rFonts w:ascii="Times New Roman" w:hAnsi="Times New Roman" w:cs="Times New Roman"/>
                <w:color w:val="000000"/>
                <w:sz w:val="18"/>
                <w:szCs w:val="18"/>
              </w:rPr>
            </w:pPr>
            <w:r w:rsidRPr="00EA49D6">
              <w:rPr>
                <w:rStyle w:val="legamendingtext"/>
                <w:rFonts w:ascii="Times New Roman" w:hAnsi="Times New Roman" w:cs="Times New Roman"/>
                <w:color w:val="000000"/>
                <w:sz w:val="18"/>
                <w:szCs w:val="18"/>
              </w:rPr>
              <w:t>7. To facilitate the exchange of information referred to in paragraph 6 of this Article, the Commission shall adopt the practical arrangements necessary for the implementation of this Article, including measures to standardize the communication of the information set out in paragraph 6 of this Article, as part of the procedure for establishing the standard form provided for in Article 20(5).</w:t>
            </w:r>
          </w:p>
        </w:tc>
        <w:tc>
          <w:tcPr>
            <w:tcW w:w="540" w:type="dxa"/>
          </w:tcPr>
          <w:p w14:paraId="255510C7" w14:textId="77777777" w:rsidR="002511E0" w:rsidRPr="00EA49D6" w:rsidRDefault="002511E0" w:rsidP="003C045B">
            <w:pPr>
              <w:jc w:val="center"/>
              <w:rPr>
                <w:rFonts w:ascii="Times New Roman" w:eastAsia="Calibri" w:hAnsi="Times New Roman" w:cs="Times New Roman"/>
                <w:sz w:val="18"/>
                <w:szCs w:val="18"/>
              </w:rPr>
            </w:pPr>
          </w:p>
        </w:tc>
        <w:tc>
          <w:tcPr>
            <w:tcW w:w="554" w:type="dxa"/>
          </w:tcPr>
          <w:p w14:paraId="4B717550" w14:textId="29BC9C55" w:rsidR="002511E0" w:rsidRPr="00EA49D6" w:rsidRDefault="00C917BB"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N/A</w:t>
            </w:r>
          </w:p>
        </w:tc>
        <w:tc>
          <w:tcPr>
            <w:tcW w:w="5040" w:type="dxa"/>
          </w:tcPr>
          <w:p w14:paraId="5AAE61CA" w14:textId="2E10C36D" w:rsidR="002511E0" w:rsidRPr="00EA49D6" w:rsidRDefault="00C917BB" w:rsidP="00C917BB">
            <w:pPr>
              <w:spacing w:before="120"/>
              <w:jc w:val="center"/>
              <w:rPr>
                <w:rFonts w:ascii="Times New Roman" w:eastAsia="Times New Roman" w:hAnsi="Times New Roman" w:cs="Times New Roman"/>
                <w:sz w:val="18"/>
                <w:szCs w:val="18"/>
                <w:lang w:eastAsia="sq-AL"/>
              </w:rPr>
            </w:pPr>
            <w:r w:rsidRPr="00EA49D6">
              <w:rPr>
                <w:rFonts w:ascii="Times New Roman" w:eastAsia="Times New Roman" w:hAnsi="Times New Roman" w:cs="Times New Roman"/>
                <w:sz w:val="18"/>
                <w:szCs w:val="18"/>
                <w:lang w:eastAsia="sq-AL"/>
              </w:rPr>
              <w:t>N/A</w:t>
            </w:r>
          </w:p>
        </w:tc>
        <w:tc>
          <w:tcPr>
            <w:tcW w:w="720" w:type="dxa"/>
          </w:tcPr>
          <w:p w14:paraId="6EEA7984" w14:textId="258F99F4" w:rsidR="002511E0" w:rsidRPr="00EA49D6" w:rsidRDefault="00C917BB"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N/A</w:t>
            </w:r>
          </w:p>
        </w:tc>
        <w:tc>
          <w:tcPr>
            <w:tcW w:w="3406" w:type="dxa"/>
          </w:tcPr>
          <w:p w14:paraId="3444B5D0" w14:textId="0F7DC773" w:rsidR="002511E0" w:rsidRPr="00EA49D6" w:rsidRDefault="00C917BB" w:rsidP="00B167C6">
            <w:pPr>
              <w:rPr>
                <w:rFonts w:ascii="Times New Roman" w:eastAsia="Calibri" w:hAnsi="Times New Roman" w:cs="Times New Roman"/>
                <w:sz w:val="18"/>
                <w:szCs w:val="18"/>
              </w:rPr>
            </w:pPr>
            <w:r w:rsidRPr="00EA49D6">
              <w:rPr>
                <w:rFonts w:ascii="Times New Roman" w:eastAsia="Calibri" w:hAnsi="Times New Roman" w:cs="Times New Roman"/>
                <w:sz w:val="18"/>
                <w:szCs w:val="18"/>
              </w:rPr>
              <w:t>This provision does not require direct transposition, as it is related to the adoption of implementing measures by the European Commission.</w:t>
            </w:r>
          </w:p>
        </w:tc>
      </w:tr>
      <w:tr w:rsidR="003C045B" w:rsidRPr="00EA49D6" w14:paraId="12DBA1A2" w14:textId="77777777" w:rsidTr="003675BD">
        <w:tc>
          <w:tcPr>
            <w:tcW w:w="540" w:type="dxa"/>
          </w:tcPr>
          <w:p w14:paraId="369979A3" w14:textId="79F430B9" w:rsidR="003C045B" w:rsidRPr="00EA49D6" w:rsidRDefault="003C045B" w:rsidP="003C045B">
            <w:pPr>
              <w:jc w:val="both"/>
              <w:rPr>
                <w:rFonts w:ascii="Times New Roman" w:eastAsia="Calibri" w:hAnsi="Times New Roman" w:cs="Times New Roman"/>
                <w:sz w:val="18"/>
                <w:szCs w:val="18"/>
                <w:lang w:val="en-US"/>
              </w:rPr>
            </w:pPr>
          </w:p>
        </w:tc>
        <w:tc>
          <w:tcPr>
            <w:tcW w:w="5400" w:type="dxa"/>
          </w:tcPr>
          <w:p w14:paraId="38DC41C0" w14:textId="1531EB5D" w:rsidR="003C045B" w:rsidRPr="00EA49D6" w:rsidRDefault="00F82F30" w:rsidP="00FE6EDB">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t>8. Information as defined under points (a), (b), (h) and (k) of paragraph 6 of this Article shall not be communicated to the European Commission.</w:t>
            </w:r>
          </w:p>
        </w:tc>
        <w:tc>
          <w:tcPr>
            <w:tcW w:w="540" w:type="dxa"/>
          </w:tcPr>
          <w:p w14:paraId="565A294E" w14:textId="77777777" w:rsidR="003C045B" w:rsidRPr="00EA49D6" w:rsidRDefault="003C045B" w:rsidP="003C045B">
            <w:pPr>
              <w:jc w:val="center"/>
              <w:rPr>
                <w:rFonts w:ascii="Times New Roman" w:eastAsia="Calibri" w:hAnsi="Times New Roman" w:cs="Times New Roman"/>
                <w:sz w:val="18"/>
                <w:szCs w:val="18"/>
              </w:rPr>
            </w:pPr>
          </w:p>
        </w:tc>
        <w:tc>
          <w:tcPr>
            <w:tcW w:w="554" w:type="dxa"/>
          </w:tcPr>
          <w:p w14:paraId="0E74AD33" w14:textId="77777777" w:rsidR="00EB64E9" w:rsidRPr="00EA49D6" w:rsidRDefault="00EB64E9" w:rsidP="003C045B">
            <w:pPr>
              <w:jc w:val="center"/>
              <w:rPr>
                <w:rFonts w:ascii="Times New Roman" w:eastAsia="Calibri" w:hAnsi="Times New Roman" w:cs="Times New Roman"/>
                <w:sz w:val="18"/>
                <w:szCs w:val="18"/>
                <w:lang w:val="en-US"/>
              </w:rPr>
            </w:pPr>
          </w:p>
          <w:p w14:paraId="646F798E" w14:textId="296E7B15" w:rsidR="003C045B" w:rsidRPr="00EA49D6" w:rsidRDefault="00C917BB"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Article 7</w:t>
            </w:r>
          </w:p>
        </w:tc>
        <w:tc>
          <w:tcPr>
            <w:tcW w:w="5040" w:type="dxa"/>
          </w:tcPr>
          <w:p w14:paraId="23693A43" w14:textId="77777777" w:rsidR="00766BAF" w:rsidRPr="00EA49D6" w:rsidRDefault="00766BAF" w:rsidP="00766BAF">
            <w:pPr>
              <w:spacing w:before="100" w:beforeAutospacing="1" w:after="100" w:afterAutospacing="1"/>
              <w:jc w:val="center"/>
              <w:rPr>
                <w:rFonts w:ascii="Times New Roman" w:eastAsia="Times New Roman" w:hAnsi="Times New Roman" w:cs="Times New Roman"/>
                <w:sz w:val="18"/>
                <w:szCs w:val="18"/>
              </w:rPr>
            </w:pPr>
            <w:r w:rsidRPr="00EA49D6">
              <w:rPr>
                <w:rFonts w:ascii="Times New Roman" w:eastAsia="Times New Roman" w:hAnsi="Times New Roman" w:cs="Times New Roman"/>
                <w:b/>
                <w:bCs/>
                <w:sz w:val="18"/>
                <w:szCs w:val="18"/>
              </w:rPr>
              <w:t>Article 7</w:t>
            </w:r>
            <w:r w:rsidRPr="00EA49D6">
              <w:rPr>
                <w:rFonts w:ascii="Times New Roman" w:eastAsia="Times New Roman" w:hAnsi="Times New Roman" w:cs="Times New Roman"/>
                <w:sz w:val="18"/>
                <w:szCs w:val="18"/>
              </w:rPr>
              <w:br/>
            </w:r>
            <w:r w:rsidRPr="00EA49D6">
              <w:rPr>
                <w:rFonts w:ascii="Times New Roman" w:eastAsia="Times New Roman" w:hAnsi="Times New Roman" w:cs="Times New Roman"/>
                <w:b/>
                <w:bCs/>
                <w:sz w:val="18"/>
                <w:szCs w:val="18"/>
              </w:rPr>
              <w:t>Content of the Information to be exchanged</w:t>
            </w:r>
          </w:p>
          <w:p w14:paraId="2DB36FDC" w14:textId="08DEF7C2" w:rsidR="00485EAE" w:rsidRPr="00EA49D6" w:rsidRDefault="00485EAE" w:rsidP="00766BAF">
            <w:pPr>
              <w:spacing w:before="100" w:beforeAutospacing="1" w:after="100" w:afterAutospacing="1"/>
              <w:jc w:val="both"/>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3</w:t>
            </w:r>
            <w:r w:rsidR="00766BAF" w:rsidRPr="00EA49D6">
              <w:rPr>
                <w:rFonts w:ascii="Times New Roman" w:eastAsia="Calibri" w:hAnsi="Times New Roman" w:cs="Times New Roman"/>
                <w:sz w:val="18"/>
                <w:szCs w:val="18"/>
                <w:lang w:val="en-US"/>
              </w:rPr>
              <w:t xml:space="preserve">. The information referred to in </w:t>
            </w:r>
            <w:r w:rsidR="008B18B4" w:rsidRPr="00EA49D6">
              <w:rPr>
                <w:rFonts w:ascii="Times New Roman" w:eastAsia="Calibri" w:hAnsi="Times New Roman" w:cs="Times New Roman"/>
                <w:sz w:val="18"/>
                <w:szCs w:val="18"/>
                <w:lang w:val="en-US"/>
              </w:rPr>
              <w:t xml:space="preserve">letters </w:t>
            </w:r>
            <w:r w:rsidR="00766BAF" w:rsidRPr="00EA49D6">
              <w:rPr>
                <w:rFonts w:ascii="Times New Roman" w:eastAsia="Calibri" w:hAnsi="Times New Roman" w:cs="Times New Roman"/>
                <w:sz w:val="18"/>
                <w:szCs w:val="18"/>
                <w:lang w:val="en-US"/>
              </w:rPr>
              <w:t xml:space="preserve">(a), (b), (h) and (k) of </w:t>
            </w:r>
            <w:r w:rsidR="008B18B4" w:rsidRPr="00EA49D6">
              <w:rPr>
                <w:rFonts w:ascii="Times New Roman" w:eastAsia="Calibri" w:hAnsi="Times New Roman" w:cs="Times New Roman"/>
                <w:sz w:val="18"/>
                <w:szCs w:val="18"/>
                <w:lang w:val="en-US"/>
              </w:rPr>
              <w:t xml:space="preserve">point 1 of </w:t>
            </w:r>
            <w:r w:rsidR="00766BAF" w:rsidRPr="00EA49D6">
              <w:rPr>
                <w:rFonts w:ascii="Times New Roman" w:eastAsia="Calibri" w:hAnsi="Times New Roman" w:cs="Times New Roman"/>
                <w:sz w:val="18"/>
                <w:szCs w:val="18"/>
                <w:lang w:val="en-US"/>
              </w:rPr>
              <w:t xml:space="preserve">this Article shall not be communicated to the European Commission. </w:t>
            </w:r>
          </w:p>
          <w:p w14:paraId="6C05ACEC" w14:textId="6CD37590" w:rsidR="003C045B" w:rsidRPr="00EA49D6" w:rsidRDefault="00485EAE" w:rsidP="00766BAF">
            <w:pPr>
              <w:spacing w:before="100" w:beforeAutospacing="1" w:after="100" w:afterAutospacing="1"/>
              <w:jc w:val="both"/>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4.</w:t>
            </w:r>
            <w:r w:rsidR="00766BAF" w:rsidRPr="00EA49D6">
              <w:rPr>
                <w:rFonts w:ascii="Times New Roman" w:eastAsia="Calibri" w:hAnsi="Times New Roman" w:cs="Times New Roman"/>
                <w:sz w:val="18"/>
                <w:szCs w:val="18"/>
                <w:lang w:val="en-US"/>
              </w:rPr>
              <w:t xml:space="preserve">The competent authority of the Member States identified in </w:t>
            </w:r>
            <w:r w:rsidR="008B18B4" w:rsidRPr="00EA49D6">
              <w:rPr>
                <w:rFonts w:ascii="Times New Roman" w:eastAsia="Calibri" w:hAnsi="Times New Roman" w:cs="Times New Roman"/>
                <w:sz w:val="18"/>
                <w:szCs w:val="18"/>
                <w:lang w:val="en-US"/>
              </w:rPr>
              <w:t>letter j) of point 1 of this article</w:t>
            </w:r>
            <w:r w:rsidR="00766BAF" w:rsidRPr="00EA49D6">
              <w:rPr>
                <w:rFonts w:ascii="Times New Roman" w:eastAsia="Calibri" w:hAnsi="Times New Roman" w:cs="Times New Roman"/>
                <w:sz w:val="18"/>
                <w:szCs w:val="18"/>
                <w:lang w:val="en-US"/>
              </w:rPr>
              <w:t xml:space="preserve"> shall acknowledge, where possible by electronic means, receipt of the information to the competent authority that provided the information without delay and, in any event, no later than seven working days. This measure shall apply until the central directory becomes operational.</w:t>
            </w:r>
          </w:p>
          <w:p w14:paraId="2397275C" w14:textId="502D1183" w:rsidR="00766BAF" w:rsidRPr="00EA49D6" w:rsidRDefault="00766BAF" w:rsidP="00766BAF">
            <w:pPr>
              <w:rPr>
                <w:rFonts w:ascii="Times New Roman" w:hAnsi="Times New Roman" w:cs="Times New Roman"/>
                <w:sz w:val="18"/>
                <w:szCs w:val="18"/>
                <w:lang w:val="en-US"/>
              </w:rPr>
            </w:pPr>
          </w:p>
        </w:tc>
        <w:tc>
          <w:tcPr>
            <w:tcW w:w="720" w:type="dxa"/>
          </w:tcPr>
          <w:p w14:paraId="78CDC80A" w14:textId="1111FF7C" w:rsidR="003C045B" w:rsidRPr="00EA49D6" w:rsidRDefault="00C917BB"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F</w:t>
            </w:r>
          </w:p>
        </w:tc>
        <w:tc>
          <w:tcPr>
            <w:tcW w:w="3406" w:type="dxa"/>
          </w:tcPr>
          <w:p w14:paraId="5D6C08E4" w14:textId="1EEF49BB" w:rsidR="00F82F30" w:rsidRPr="00EA49D6" w:rsidRDefault="00F82F30" w:rsidP="00F82F30">
            <w:pPr>
              <w:rPr>
                <w:rFonts w:ascii="Times New Roman" w:eastAsia="Calibri" w:hAnsi="Times New Roman" w:cs="Times New Roman"/>
                <w:sz w:val="18"/>
                <w:szCs w:val="18"/>
                <w:lang w:val="en-US"/>
              </w:rPr>
            </w:pPr>
          </w:p>
          <w:p w14:paraId="09801CC0" w14:textId="0C949902" w:rsidR="003C045B" w:rsidRPr="00EA49D6" w:rsidRDefault="003C045B" w:rsidP="003C045B">
            <w:pPr>
              <w:rPr>
                <w:rFonts w:ascii="Times New Roman" w:eastAsia="Calibri" w:hAnsi="Times New Roman" w:cs="Times New Roman"/>
                <w:sz w:val="18"/>
                <w:szCs w:val="18"/>
                <w:lang w:val="en-US"/>
              </w:rPr>
            </w:pPr>
          </w:p>
        </w:tc>
      </w:tr>
      <w:tr w:rsidR="003C045B" w:rsidRPr="00EA49D6" w14:paraId="07041DF6" w14:textId="77777777" w:rsidTr="003675BD">
        <w:tc>
          <w:tcPr>
            <w:tcW w:w="540" w:type="dxa"/>
            <w:shd w:val="clear" w:color="auto" w:fill="F2F2F2"/>
          </w:tcPr>
          <w:p w14:paraId="03401B2F" w14:textId="77777777" w:rsidR="003C045B" w:rsidRPr="00EA49D6" w:rsidRDefault="003C045B" w:rsidP="003C045B">
            <w:pPr>
              <w:jc w:val="center"/>
              <w:rPr>
                <w:rFonts w:ascii="Times New Roman" w:eastAsia="Calibri" w:hAnsi="Times New Roman" w:cs="Times New Roman"/>
                <w:i/>
                <w:sz w:val="18"/>
                <w:szCs w:val="18"/>
                <w:lang w:val="en-US"/>
              </w:rPr>
            </w:pPr>
          </w:p>
        </w:tc>
        <w:tc>
          <w:tcPr>
            <w:tcW w:w="5400" w:type="dxa"/>
            <w:shd w:val="clear" w:color="auto" w:fill="F2F2F2"/>
          </w:tcPr>
          <w:p w14:paraId="4D5F8454" w14:textId="62C2C100" w:rsidR="003C045B" w:rsidRPr="00EA49D6" w:rsidRDefault="00F82F30" w:rsidP="00A40F57">
            <w:pPr>
              <w:pStyle w:val="oj-normal"/>
              <w:shd w:val="clear" w:color="auto" w:fill="FFFFFF"/>
              <w:spacing w:before="120" w:beforeAutospacing="0" w:after="0" w:afterAutospacing="0"/>
              <w:jc w:val="both"/>
              <w:rPr>
                <w:rFonts w:eastAsia="Calibri"/>
                <w:iCs/>
                <w:sz w:val="18"/>
                <w:szCs w:val="18"/>
                <w:lang w:val="en-US"/>
              </w:rPr>
            </w:pPr>
            <w:r w:rsidRPr="00EA49D6">
              <w:rPr>
                <w:rFonts w:eastAsia="Calibri"/>
                <w:iCs/>
                <w:sz w:val="18"/>
                <w:szCs w:val="18"/>
                <w:lang w:val="en-US"/>
              </w:rPr>
              <w:t>9. The competent authority of the Member States concerned, identified under paragraph 6(j), shall confirm, if possible by electronic means, the receipt of the information to the competent authority which provided the information without delay and in any event no later than seven working days. This measure shall be applicable until the directory referred to in Article 21(5) becomes operational.</w:t>
            </w:r>
          </w:p>
        </w:tc>
        <w:tc>
          <w:tcPr>
            <w:tcW w:w="540" w:type="dxa"/>
          </w:tcPr>
          <w:p w14:paraId="20E57A6E" w14:textId="77777777" w:rsidR="003C045B" w:rsidRPr="00EA49D6" w:rsidRDefault="003C045B" w:rsidP="003C045B">
            <w:pPr>
              <w:jc w:val="center"/>
              <w:rPr>
                <w:rFonts w:ascii="Times New Roman" w:eastAsia="Calibri" w:hAnsi="Times New Roman" w:cs="Times New Roman"/>
                <w:i/>
                <w:sz w:val="18"/>
                <w:szCs w:val="18"/>
              </w:rPr>
            </w:pPr>
          </w:p>
        </w:tc>
        <w:tc>
          <w:tcPr>
            <w:tcW w:w="554" w:type="dxa"/>
            <w:shd w:val="clear" w:color="auto" w:fill="F2F2F2"/>
          </w:tcPr>
          <w:p w14:paraId="00326C39" w14:textId="77777777" w:rsidR="00EB64E9" w:rsidRPr="00EA49D6" w:rsidRDefault="00EB64E9" w:rsidP="003C045B">
            <w:pPr>
              <w:jc w:val="center"/>
              <w:rPr>
                <w:rFonts w:ascii="Times New Roman" w:eastAsia="Calibri" w:hAnsi="Times New Roman" w:cs="Times New Roman"/>
                <w:sz w:val="18"/>
                <w:szCs w:val="18"/>
                <w:lang w:val="en-US"/>
              </w:rPr>
            </w:pPr>
          </w:p>
          <w:p w14:paraId="7BD59961" w14:textId="7566B4C9" w:rsidR="003C045B" w:rsidRPr="00EA49D6" w:rsidRDefault="00C917BB"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Article 7</w:t>
            </w:r>
          </w:p>
        </w:tc>
        <w:tc>
          <w:tcPr>
            <w:tcW w:w="5040" w:type="dxa"/>
            <w:shd w:val="clear" w:color="auto" w:fill="F2F2F2"/>
          </w:tcPr>
          <w:p w14:paraId="31021B3B" w14:textId="29CB99D1" w:rsidR="00EB2C6A" w:rsidRPr="00EA49D6" w:rsidRDefault="00766BAF" w:rsidP="00061FFB">
            <w:pPr>
              <w:spacing w:before="100" w:beforeAutospacing="1" w:after="100" w:afterAutospacing="1"/>
              <w:jc w:val="center"/>
              <w:rPr>
                <w:rFonts w:ascii="Times New Roman" w:eastAsia="Times New Roman" w:hAnsi="Times New Roman" w:cs="Times New Roman"/>
                <w:sz w:val="18"/>
                <w:szCs w:val="18"/>
              </w:rPr>
            </w:pPr>
            <w:r w:rsidRPr="00EA49D6">
              <w:rPr>
                <w:rFonts w:ascii="Times New Roman" w:eastAsia="Times New Roman" w:hAnsi="Times New Roman" w:cs="Times New Roman"/>
                <w:b/>
                <w:bCs/>
                <w:sz w:val="18"/>
                <w:szCs w:val="18"/>
              </w:rPr>
              <w:t>Article 7</w:t>
            </w:r>
            <w:r w:rsidRPr="00EA49D6">
              <w:rPr>
                <w:rFonts w:ascii="Times New Roman" w:eastAsia="Times New Roman" w:hAnsi="Times New Roman" w:cs="Times New Roman"/>
                <w:sz w:val="18"/>
                <w:szCs w:val="18"/>
              </w:rPr>
              <w:br/>
            </w:r>
            <w:r w:rsidRPr="00EA49D6">
              <w:rPr>
                <w:rFonts w:ascii="Times New Roman" w:eastAsia="Times New Roman" w:hAnsi="Times New Roman" w:cs="Times New Roman"/>
                <w:b/>
                <w:bCs/>
                <w:sz w:val="18"/>
                <w:szCs w:val="18"/>
              </w:rPr>
              <w:t>Content of the Information to be exchanged</w:t>
            </w:r>
          </w:p>
          <w:p w14:paraId="4300305D" w14:textId="614AFB18" w:rsidR="00485EAE" w:rsidRPr="00EA49D6" w:rsidRDefault="00485EAE" w:rsidP="00766BAF">
            <w:pPr>
              <w:spacing w:before="100" w:beforeAutospacing="1" w:after="100" w:afterAutospacing="1"/>
              <w:jc w:val="both"/>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3</w:t>
            </w:r>
            <w:r w:rsidR="00766BAF" w:rsidRPr="00EA49D6">
              <w:rPr>
                <w:rFonts w:ascii="Times New Roman" w:eastAsia="Calibri" w:hAnsi="Times New Roman" w:cs="Times New Roman"/>
                <w:sz w:val="18"/>
                <w:szCs w:val="18"/>
                <w:lang w:val="en-US"/>
              </w:rPr>
              <w:t xml:space="preserve">. The information referred to in </w:t>
            </w:r>
            <w:r w:rsidR="008B18B4" w:rsidRPr="00EA49D6">
              <w:rPr>
                <w:rFonts w:ascii="Times New Roman" w:eastAsia="Calibri" w:hAnsi="Times New Roman" w:cs="Times New Roman"/>
                <w:sz w:val="18"/>
                <w:szCs w:val="18"/>
                <w:lang w:val="en-US"/>
              </w:rPr>
              <w:t>let</w:t>
            </w:r>
            <w:r w:rsidR="00EA49D6">
              <w:rPr>
                <w:rFonts w:ascii="Times New Roman" w:eastAsia="Calibri" w:hAnsi="Times New Roman" w:cs="Times New Roman"/>
                <w:sz w:val="18"/>
                <w:szCs w:val="18"/>
                <w:lang w:val="en-US"/>
              </w:rPr>
              <w:t>t</w:t>
            </w:r>
            <w:r w:rsidR="008B18B4" w:rsidRPr="00EA49D6">
              <w:rPr>
                <w:rFonts w:ascii="Times New Roman" w:eastAsia="Calibri" w:hAnsi="Times New Roman" w:cs="Times New Roman"/>
                <w:sz w:val="18"/>
                <w:szCs w:val="18"/>
                <w:lang w:val="en-US"/>
              </w:rPr>
              <w:t xml:space="preserve">ers  </w:t>
            </w:r>
            <w:r w:rsidR="00766BAF" w:rsidRPr="00EA49D6">
              <w:rPr>
                <w:rFonts w:ascii="Times New Roman" w:eastAsia="Calibri" w:hAnsi="Times New Roman" w:cs="Times New Roman"/>
                <w:sz w:val="18"/>
                <w:szCs w:val="18"/>
                <w:lang w:val="en-US"/>
              </w:rPr>
              <w:t xml:space="preserve">(a), (b), (h) and (k) of </w:t>
            </w:r>
            <w:r w:rsidR="008B18B4" w:rsidRPr="00EA49D6">
              <w:rPr>
                <w:rFonts w:ascii="Times New Roman" w:eastAsia="Calibri" w:hAnsi="Times New Roman" w:cs="Times New Roman"/>
                <w:sz w:val="18"/>
                <w:szCs w:val="18"/>
                <w:lang w:val="en-US"/>
              </w:rPr>
              <w:t xml:space="preserve">point 1 of </w:t>
            </w:r>
            <w:r w:rsidR="00766BAF" w:rsidRPr="00EA49D6">
              <w:rPr>
                <w:rFonts w:ascii="Times New Roman" w:eastAsia="Calibri" w:hAnsi="Times New Roman" w:cs="Times New Roman"/>
                <w:sz w:val="18"/>
                <w:szCs w:val="18"/>
                <w:lang w:val="en-US"/>
              </w:rPr>
              <w:t>this Article shall not be communicated to the European Commission.</w:t>
            </w:r>
          </w:p>
          <w:p w14:paraId="10925749" w14:textId="1241A151" w:rsidR="00766BAF" w:rsidRPr="00EA49D6" w:rsidRDefault="00485EAE" w:rsidP="00766BAF">
            <w:pPr>
              <w:spacing w:before="100" w:beforeAutospacing="1" w:after="100" w:afterAutospacing="1"/>
              <w:jc w:val="both"/>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4.</w:t>
            </w:r>
            <w:r w:rsidR="00766BAF" w:rsidRPr="00EA49D6">
              <w:rPr>
                <w:rFonts w:ascii="Times New Roman" w:eastAsia="Calibri" w:hAnsi="Times New Roman" w:cs="Times New Roman"/>
                <w:sz w:val="18"/>
                <w:szCs w:val="18"/>
                <w:lang w:val="en-US"/>
              </w:rPr>
              <w:t xml:space="preserve"> The competent authority of the Member States identified in </w:t>
            </w:r>
            <w:r w:rsidR="008B18B4" w:rsidRPr="00EA49D6">
              <w:rPr>
                <w:rFonts w:ascii="Times New Roman" w:eastAsia="Calibri" w:hAnsi="Times New Roman" w:cs="Times New Roman"/>
                <w:sz w:val="18"/>
                <w:szCs w:val="18"/>
                <w:lang w:val="en-US"/>
              </w:rPr>
              <w:t>letter j) of point 1 of this article</w:t>
            </w:r>
            <w:r w:rsidR="00766BAF" w:rsidRPr="00EA49D6">
              <w:rPr>
                <w:rFonts w:ascii="Times New Roman" w:eastAsia="Calibri" w:hAnsi="Times New Roman" w:cs="Times New Roman"/>
                <w:sz w:val="18"/>
                <w:szCs w:val="18"/>
                <w:lang w:val="en-US"/>
              </w:rPr>
              <w:t xml:space="preserve"> shall acknowledge, where possible by electronic means, receipt of the information to the competent authority that provided the information without delay and, in any </w:t>
            </w:r>
            <w:r w:rsidR="00766BAF" w:rsidRPr="00EA49D6">
              <w:rPr>
                <w:rFonts w:ascii="Times New Roman" w:eastAsia="Calibri" w:hAnsi="Times New Roman" w:cs="Times New Roman"/>
                <w:sz w:val="18"/>
                <w:szCs w:val="18"/>
                <w:lang w:val="en-US"/>
              </w:rPr>
              <w:lastRenderedPageBreak/>
              <w:t>event, no later than seven working days. This measure shall apply until the central directory becomes operational.</w:t>
            </w:r>
          </w:p>
          <w:p w14:paraId="13F62F97" w14:textId="77777777" w:rsidR="003C045B" w:rsidRPr="00EA49D6" w:rsidRDefault="003C045B" w:rsidP="003C045B">
            <w:pPr>
              <w:jc w:val="center"/>
              <w:rPr>
                <w:rFonts w:ascii="Times New Roman" w:hAnsi="Times New Roman" w:cs="Times New Roman"/>
                <w:sz w:val="18"/>
                <w:szCs w:val="18"/>
              </w:rPr>
            </w:pPr>
          </w:p>
          <w:p w14:paraId="5C51FE4B" w14:textId="77777777" w:rsidR="00A40F57" w:rsidRPr="00EA49D6" w:rsidRDefault="00A40F57" w:rsidP="00A40F57">
            <w:pPr>
              <w:jc w:val="center"/>
              <w:rPr>
                <w:rFonts w:ascii="Times New Roman" w:eastAsia="Calibri" w:hAnsi="Times New Roman" w:cs="Times New Roman"/>
                <w:sz w:val="18"/>
                <w:szCs w:val="18"/>
                <w:lang w:val="en-US"/>
              </w:rPr>
            </w:pPr>
          </w:p>
          <w:p w14:paraId="4C6A0FC1" w14:textId="52D86196" w:rsidR="003C045B" w:rsidRPr="00EA49D6" w:rsidRDefault="003C045B" w:rsidP="00A40F57">
            <w:pPr>
              <w:jc w:val="center"/>
              <w:rPr>
                <w:rFonts w:ascii="Times New Roman" w:eastAsia="Calibri" w:hAnsi="Times New Roman" w:cs="Times New Roman"/>
                <w:sz w:val="18"/>
                <w:szCs w:val="18"/>
                <w:lang w:val="en-US"/>
              </w:rPr>
            </w:pPr>
          </w:p>
        </w:tc>
        <w:tc>
          <w:tcPr>
            <w:tcW w:w="720" w:type="dxa"/>
            <w:shd w:val="clear" w:color="auto" w:fill="F2F2F2"/>
          </w:tcPr>
          <w:p w14:paraId="1BEB4026" w14:textId="68196866" w:rsidR="003C045B" w:rsidRPr="00EA49D6" w:rsidRDefault="00C917BB" w:rsidP="00C917BB">
            <w:pP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lastRenderedPageBreak/>
              <w:t>F</w:t>
            </w:r>
          </w:p>
        </w:tc>
        <w:tc>
          <w:tcPr>
            <w:tcW w:w="3406" w:type="dxa"/>
            <w:shd w:val="clear" w:color="auto" w:fill="F2F2F2"/>
          </w:tcPr>
          <w:p w14:paraId="66795176" w14:textId="7C2CE46D" w:rsidR="00F82F30" w:rsidRPr="00EA49D6" w:rsidRDefault="00F82F30" w:rsidP="00F82F30">
            <w:pPr>
              <w:pStyle w:val="NormalWeb"/>
              <w:spacing w:line="240" w:lineRule="auto"/>
              <w:jc w:val="both"/>
              <w:rPr>
                <w:rFonts w:eastAsia="Calibri"/>
                <w:sz w:val="18"/>
                <w:szCs w:val="18"/>
              </w:rPr>
            </w:pPr>
          </w:p>
          <w:p w14:paraId="2B08ADE6" w14:textId="5224A0C4" w:rsidR="003C045B" w:rsidRPr="00EA49D6" w:rsidRDefault="003C045B" w:rsidP="00A40F57">
            <w:pPr>
              <w:pStyle w:val="NormalWeb"/>
              <w:spacing w:line="240" w:lineRule="auto"/>
              <w:jc w:val="both"/>
              <w:rPr>
                <w:rFonts w:eastAsia="Calibri"/>
                <w:sz w:val="18"/>
                <w:szCs w:val="18"/>
              </w:rPr>
            </w:pPr>
          </w:p>
        </w:tc>
      </w:tr>
      <w:tr w:rsidR="003C045B" w:rsidRPr="00EA49D6" w14:paraId="0A280824" w14:textId="77777777" w:rsidTr="003675BD">
        <w:tc>
          <w:tcPr>
            <w:tcW w:w="540" w:type="dxa"/>
          </w:tcPr>
          <w:p w14:paraId="4CC1BC67" w14:textId="654A2C67" w:rsidR="003C045B" w:rsidRPr="00EA49D6" w:rsidRDefault="003C045B" w:rsidP="003C045B">
            <w:pPr>
              <w:jc w:val="both"/>
              <w:rPr>
                <w:rFonts w:ascii="Times New Roman" w:eastAsia="Calibri" w:hAnsi="Times New Roman" w:cs="Times New Roman"/>
                <w:sz w:val="18"/>
                <w:szCs w:val="18"/>
                <w:lang w:val="en-US"/>
              </w:rPr>
            </w:pPr>
          </w:p>
        </w:tc>
        <w:tc>
          <w:tcPr>
            <w:tcW w:w="5400" w:type="dxa"/>
          </w:tcPr>
          <w:p w14:paraId="3F658A9F" w14:textId="3D99810A" w:rsidR="003C045B" w:rsidRPr="00EA49D6" w:rsidRDefault="00F82F30" w:rsidP="00A40F57">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t>10. Member States may, in accordance with Article 5, and having regard to Article 21(4), request additional information, including the full text of an advance cross-border ruling or an advance pricing arrangement.</w:t>
            </w:r>
          </w:p>
        </w:tc>
        <w:tc>
          <w:tcPr>
            <w:tcW w:w="540" w:type="dxa"/>
          </w:tcPr>
          <w:p w14:paraId="68B1A8F1" w14:textId="6488B5E5" w:rsidR="003C045B" w:rsidRPr="00EA49D6" w:rsidRDefault="003C045B" w:rsidP="003C045B">
            <w:pPr>
              <w:jc w:val="center"/>
              <w:rPr>
                <w:rFonts w:ascii="Times New Roman" w:eastAsia="Calibri" w:hAnsi="Times New Roman" w:cs="Times New Roman"/>
                <w:sz w:val="18"/>
                <w:szCs w:val="18"/>
              </w:rPr>
            </w:pPr>
          </w:p>
        </w:tc>
        <w:tc>
          <w:tcPr>
            <w:tcW w:w="554" w:type="dxa"/>
          </w:tcPr>
          <w:p w14:paraId="1804EDCC" w14:textId="77777777" w:rsidR="0000140B" w:rsidRPr="00EA49D6" w:rsidRDefault="0000140B" w:rsidP="003C045B">
            <w:pPr>
              <w:jc w:val="center"/>
              <w:rPr>
                <w:rFonts w:ascii="Times New Roman" w:eastAsia="Calibri" w:hAnsi="Times New Roman" w:cs="Times New Roman"/>
                <w:sz w:val="18"/>
                <w:szCs w:val="18"/>
                <w:lang w:val="en-US"/>
              </w:rPr>
            </w:pPr>
          </w:p>
          <w:p w14:paraId="129A8AC4" w14:textId="10689ABD" w:rsidR="003C045B" w:rsidRPr="00EA49D6" w:rsidRDefault="00C917BB"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 xml:space="preserve">Article </w:t>
            </w:r>
            <w:r w:rsidR="00A45944" w:rsidRPr="00EA49D6">
              <w:rPr>
                <w:rFonts w:ascii="Times New Roman" w:eastAsia="Calibri" w:hAnsi="Times New Roman" w:cs="Times New Roman"/>
                <w:sz w:val="18"/>
                <w:szCs w:val="18"/>
                <w:lang w:val="en-US"/>
              </w:rPr>
              <w:t>8</w:t>
            </w:r>
          </w:p>
        </w:tc>
        <w:tc>
          <w:tcPr>
            <w:tcW w:w="5040" w:type="dxa"/>
          </w:tcPr>
          <w:p w14:paraId="7FBEBFF6" w14:textId="290AC9F3" w:rsidR="00EB2C6A" w:rsidRPr="00EA49D6" w:rsidRDefault="00EB2C6A" w:rsidP="00EB2C6A">
            <w:pPr>
              <w:jc w:val="center"/>
              <w:rPr>
                <w:rFonts w:ascii="Times New Roman" w:hAnsi="Times New Roman" w:cs="Times New Roman"/>
                <w:b/>
                <w:sz w:val="18"/>
                <w:szCs w:val="18"/>
              </w:rPr>
            </w:pPr>
            <w:r w:rsidRPr="00EA49D6">
              <w:rPr>
                <w:rFonts w:ascii="Times New Roman" w:hAnsi="Times New Roman" w:cs="Times New Roman"/>
                <w:b/>
                <w:sz w:val="18"/>
                <w:szCs w:val="18"/>
              </w:rPr>
              <w:t xml:space="preserve">Article </w:t>
            </w:r>
            <w:r w:rsidR="000E09F3" w:rsidRPr="00EA49D6">
              <w:rPr>
                <w:rFonts w:ascii="Times New Roman" w:hAnsi="Times New Roman" w:cs="Times New Roman"/>
                <w:b/>
                <w:sz w:val="18"/>
                <w:szCs w:val="18"/>
              </w:rPr>
              <w:t>8</w:t>
            </w:r>
          </w:p>
          <w:p w14:paraId="53D74FB4" w14:textId="77777777" w:rsidR="00EB2C6A" w:rsidRPr="00EA49D6" w:rsidRDefault="00EB2C6A" w:rsidP="00EB2C6A">
            <w:pPr>
              <w:jc w:val="center"/>
              <w:rPr>
                <w:rFonts w:ascii="Times New Roman" w:hAnsi="Times New Roman" w:cs="Times New Roman"/>
                <w:b/>
                <w:sz w:val="18"/>
                <w:szCs w:val="18"/>
              </w:rPr>
            </w:pPr>
            <w:r w:rsidRPr="00EA49D6">
              <w:rPr>
                <w:rFonts w:ascii="Times New Roman" w:hAnsi="Times New Roman" w:cs="Times New Roman"/>
                <w:b/>
                <w:sz w:val="18"/>
                <w:szCs w:val="18"/>
              </w:rPr>
              <w:t>Additional information upon request</w:t>
            </w:r>
          </w:p>
          <w:p w14:paraId="5AA6CCE5" w14:textId="776FB5BE" w:rsidR="003C045B" w:rsidRPr="00EA49D6" w:rsidRDefault="00485EAE" w:rsidP="00EA49D6">
            <w:pPr>
              <w:rPr>
                <w:rFonts w:ascii="Times New Roman" w:eastAsia="Calibri" w:hAnsi="Times New Roman" w:cs="Times New Roman"/>
                <w:sz w:val="18"/>
                <w:szCs w:val="18"/>
              </w:rPr>
            </w:pPr>
            <w:r w:rsidRPr="00EA49D6">
              <w:rPr>
                <w:rFonts w:ascii="Times New Roman" w:hAnsi="Times New Roman" w:cs="Times New Roman"/>
                <w:sz w:val="18"/>
                <w:szCs w:val="18"/>
              </w:rPr>
              <w:t>Upon completion of the automatic exchange of the basic information provided for in Article 7, the General Directorate of Taxes shall, upon a reasoned request from the competent authority of a Member State, provide additional information, including the full text of the advance cross-border ruling or the Advance Pricing Agreement (APA), in accordance with the rules on confidentiality and data protection and through the secure communication channels provided for under European Union legislation</w:t>
            </w:r>
            <w:r w:rsidRPr="00EA49D6" w:rsidDel="00485EAE">
              <w:rPr>
                <w:rFonts w:ascii="Times New Roman" w:hAnsi="Times New Roman" w:cs="Times New Roman"/>
                <w:sz w:val="18"/>
                <w:szCs w:val="18"/>
              </w:rPr>
              <w:t xml:space="preserve"> </w:t>
            </w:r>
          </w:p>
        </w:tc>
        <w:tc>
          <w:tcPr>
            <w:tcW w:w="720" w:type="dxa"/>
          </w:tcPr>
          <w:p w14:paraId="4C0F418F" w14:textId="09C79E43" w:rsidR="003C045B" w:rsidRPr="00EA49D6" w:rsidRDefault="00C917BB"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F</w:t>
            </w:r>
          </w:p>
        </w:tc>
        <w:tc>
          <w:tcPr>
            <w:tcW w:w="3406" w:type="dxa"/>
          </w:tcPr>
          <w:p w14:paraId="7699D7EC" w14:textId="77777777" w:rsidR="00CE6B7A" w:rsidRPr="00EA49D6" w:rsidRDefault="00CE6B7A" w:rsidP="00CE6B7A">
            <w:pPr>
              <w:rPr>
                <w:rFonts w:ascii="Times New Roman" w:eastAsia="Calibri" w:hAnsi="Times New Roman" w:cs="Times New Roman"/>
                <w:sz w:val="18"/>
                <w:szCs w:val="18"/>
                <w:lang w:val="en-US"/>
              </w:rPr>
            </w:pPr>
          </w:p>
          <w:p w14:paraId="0052F906" w14:textId="04F93D2C" w:rsidR="003C045B" w:rsidRPr="00EA49D6" w:rsidRDefault="003C045B" w:rsidP="00F82F30">
            <w:pPr>
              <w:rPr>
                <w:rFonts w:ascii="Times New Roman" w:eastAsia="Calibri" w:hAnsi="Times New Roman" w:cs="Times New Roman"/>
                <w:sz w:val="18"/>
                <w:szCs w:val="18"/>
                <w:lang w:val="en-US"/>
              </w:rPr>
            </w:pPr>
          </w:p>
        </w:tc>
      </w:tr>
      <w:tr w:rsidR="003C045B" w:rsidRPr="00EA49D6" w14:paraId="42D63892" w14:textId="77777777" w:rsidTr="003675BD">
        <w:trPr>
          <w:trHeight w:val="1008"/>
        </w:trPr>
        <w:tc>
          <w:tcPr>
            <w:tcW w:w="540" w:type="dxa"/>
          </w:tcPr>
          <w:p w14:paraId="3CCCFFF5" w14:textId="3D21E7E1" w:rsidR="003C045B" w:rsidRPr="00EA49D6" w:rsidRDefault="003C045B" w:rsidP="003C045B">
            <w:pPr>
              <w:jc w:val="both"/>
              <w:rPr>
                <w:rFonts w:ascii="Times New Roman" w:eastAsia="Calibri" w:hAnsi="Times New Roman" w:cs="Times New Roman"/>
                <w:sz w:val="18"/>
                <w:szCs w:val="18"/>
                <w:lang w:val="en-US"/>
              </w:rPr>
            </w:pPr>
            <w:bookmarkStart w:id="2" w:name="_Hlk227911050"/>
          </w:p>
        </w:tc>
        <w:tc>
          <w:tcPr>
            <w:tcW w:w="5400" w:type="dxa"/>
            <w:shd w:val="clear" w:color="auto" w:fill="D0CECE" w:themeFill="background2" w:themeFillShade="E6"/>
          </w:tcPr>
          <w:p w14:paraId="478C1122" w14:textId="22C86457" w:rsidR="00F82F30" w:rsidRPr="00EA49D6" w:rsidRDefault="00F82F30" w:rsidP="00A45944">
            <w:pPr>
              <w:spacing w:line="276" w:lineRule="auto"/>
              <w:jc w:val="center"/>
              <w:rPr>
                <w:rFonts w:ascii="Times New Roman" w:eastAsia="Calibri" w:hAnsi="Times New Roman" w:cs="Times New Roman"/>
                <w:b/>
                <w:iCs/>
                <w:sz w:val="18"/>
                <w:szCs w:val="18"/>
                <w:lang w:val="en-US"/>
              </w:rPr>
            </w:pPr>
            <w:r w:rsidRPr="00EA49D6">
              <w:rPr>
                <w:rFonts w:ascii="Times New Roman" w:eastAsia="Calibri" w:hAnsi="Times New Roman" w:cs="Times New Roman"/>
                <w:b/>
                <w:iCs/>
                <w:sz w:val="18"/>
                <w:szCs w:val="18"/>
                <w:lang w:val="en-US"/>
              </w:rPr>
              <w:t>Article 8b</w:t>
            </w:r>
          </w:p>
          <w:p w14:paraId="1F8428AC" w14:textId="637A1227" w:rsidR="003C045B" w:rsidRPr="00EA49D6" w:rsidRDefault="00F82F30" w:rsidP="00F82F30">
            <w:pPr>
              <w:spacing w:line="276" w:lineRule="auto"/>
              <w:jc w:val="center"/>
              <w:rPr>
                <w:rFonts w:ascii="Times New Roman" w:eastAsia="Calibri" w:hAnsi="Times New Roman" w:cs="Times New Roman"/>
                <w:iCs/>
                <w:sz w:val="18"/>
                <w:szCs w:val="18"/>
                <w:lang w:val="en-US"/>
              </w:rPr>
            </w:pPr>
            <w:r w:rsidRPr="00EA49D6">
              <w:rPr>
                <w:rFonts w:ascii="Times New Roman" w:eastAsia="Calibri" w:hAnsi="Times New Roman" w:cs="Times New Roman"/>
                <w:b/>
                <w:iCs/>
                <w:sz w:val="18"/>
                <w:szCs w:val="18"/>
                <w:lang w:val="en-US"/>
              </w:rPr>
              <w:t>Statistics on automatic exchanges</w:t>
            </w:r>
          </w:p>
        </w:tc>
        <w:tc>
          <w:tcPr>
            <w:tcW w:w="540" w:type="dxa"/>
            <w:shd w:val="clear" w:color="auto" w:fill="D0CECE" w:themeFill="background2" w:themeFillShade="E6"/>
          </w:tcPr>
          <w:p w14:paraId="7A167751" w14:textId="4D6AA9CF" w:rsidR="003C045B" w:rsidRPr="00EA49D6" w:rsidRDefault="003C045B" w:rsidP="003C045B">
            <w:pPr>
              <w:rPr>
                <w:rFonts w:ascii="Times New Roman" w:eastAsia="Calibri" w:hAnsi="Times New Roman" w:cs="Times New Roman"/>
                <w:sz w:val="18"/>
                <w:szCs w:val="18"/>
              </w:rPr>
            </w:pPr>
          </w:p>
        </w:tc>
        <w:tc>
          <w:tcPr>
            <w:tcW w:w="554" w:type="dxa"/>
            <w:shd w:val="clear" w:color="auto" w:fill="D0CECE" w:themeFill="background2" w:themeFillShade="E6"/>
          </w:tcPr>
          <w:p w14:paraId="584A3692" w14:textId="0563BE3A" w:rsidR="003C045B" w:rsidRPr="00EA49D6" w:rsidRDefault="003C045B" w:rsidP="003C045B">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321C5EE0" w14:textId="55324A93" w:rsidR="003C045B" w:rsidRPr="00EA49D6" w:rsidRDefault="003C045B" w:rsidP="003C045B">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shd w:val="clear" w:color="auto" w:fill="D0CECE" w:themeFill="background2" w:themeFillShade="E6"/>
          </w:tcPr>
          <w:p w14:paraId="05707711" w14:textId="4644B721" w:rsidR="003C045B" w:rsidRPr="00EA49D6" w:rsidRDefault="003C045B" w:rsidP="003C045B">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1F1D51C2" w14:textId="572A6EB9" w:rsidR="003C045B" w:rsidRPr="00EA49D6" w:rsidRDefault="003C045B" w:rsidP="003C045B">
            <w:pPr>
              <w:rPr>
                <w:rFonts w:ascii="Times New Roman" w:eastAsia="Calibri" w:hAnsi="Times New Roman" w:cs="Times New Roman"/>
                <w:sz w:val="18"/>
                <w:szCs w:val="18"/>
                <w:lang w:val="en-US"/>
              </w:rPr>
            </w:pPr>
          </w:p>
        </w:tc>
      </w:tr>
      <w:bookmarkEnd w:id="2"/>
      <w:tr w:rsidR="003C045B" w:rsidRPr="00EA49D6" w14:paraId="1E7B05E8" w14:textId="77777777" w:rsidTr="003675BD">
        <w:tc>
          <w:tcPr>
            <w:tcW w:w="540" w:type="dxa"/>
          </w:tcPr>
          <w:p w14:paraId="2F45229D" w14:textId="00C2B9F7" w:rsidR="003C045B" w:rsidRPr="00EA49D6" w:rsidRDefault="003C045B" w:rsidP="003C045B">
            <w:pPr>
              <w:jc w:val="both"/>
              <w:rPr>
                <w:rFonts w:ascii="Times New Roman" w:eastAsia="Calibri" w:hAnsi="Times New Roman" w:cs="Times New Roman"/>
                <w:sz w:val="18"/>
                <w:szCs w:val="18"/>
                <w:lang w:val="en-US"/>
              </w:rPr>
            </w:pPr>
          </w:p>
        </w:tc>
        <w:tc>
          <w:tcPr>
            <w:tcW w:w="5400" w:type="dxa"/>
          </w:tcPr>
          <w:p w14:paraId="3CE90BB2" w14:textId="77777777" w:rsidR="00A45944" w:rsidRPr="00EA49D6" w:rsidRDefault="00A45944" w:rsidP="00A45944">
            <w:pPr>
              <w:spacing w:line="276" w:lineRule="auto"/>
              <w:jc w:val="center"/>
              <w:rPr>
                <w:rFonts w:ascii="Times New Roman" w:eastAsia="Calibri" w:hAnsi="Times New Roman" w:cs="Times New Roman"/>
                <w:b/>
                <w:iCs/>
                <w:sz w:val="18"/>
                <w:szCs w:val="18"/>
                <w:lang w:val="en-US"/>
              </w:rPr>
            </w:pPr>
            <w:r w:rsidRPr="00EA49D6">
              <w:rPr>
                <w:rFonts w:ascii="Times New Roman" w:eastAsia="Calibri" w:hAnsi="Times New Roman" w:cs="Times New Roman"/>
                <w:b/>
                <w:iCs/>
                <w:sz w:val="18"/>
                <w:szCs w:val="18"/>
                <w:lang w:val="en-US"/>
              </w:rPr>
              <w:t>Article 8b</w:t>
            </w:r>
          </w:p>
          <w:p w14:paraId="3034E97D" w14:textId="53728FEB" w:rsidR="00A45944" w:rsidRPr="00EA49D6" w:rsidRDefault="00A45944" w:rsidP="00A45944">
            <w:pPr>
              <w:jc w:val="center"/>
              <w:rPr>
                <w:rFonts w:ascii="Times New Roman" w:eastAsia="Calibri" w:hAnsi="Times New Roman" w:cs="Times New Roman"/>
                <w:iCs/>
                <w:sz w:val="18"/>
                <w:szCs w:val="18"/>
                <w:lang w:val="en-US"/>
              </w:rPr>
            </w:pPr>
            <w:r w:rsidRPr="00EA49D6">
              <w:rPr>
                <w:rFonts w:ascii="Times New Roman" w:eastAsia="Calibri" w:hAnsi="Times New Roman" w:cs="Times New Roman"/>
                <w:b/>
                <w:iCs/>
                <w:sz w:val="18"/>
                <w:szCs w:val="18"/>
                <w:lang w:val="en-US"/>
              </w:rPr>
              <w:t>Statistics on automatic exchanges</w:t>
            </w:r>
          </w:p>
          <w:p w14:paraId="61E22D19" w14:textId="77777777" w:rsidR="00A45944" w:rsidRPr="00EA49D6" w:rsidRDefault="00A45944" w:rsidP="003C045B">
            <w:pPr>
              <w:jc w:val="both"/>
              <w:rPr>
                <w:rFonts w:ascii="Times New Roman" w:eastAsia="Calibri" w:hAnsi="Times New Roman" w:cs="Times New Roman"/>
                <w:iCs/>
                <w:sz w:val="18"/>
                <w:szCs w:val="18"/>
                <w:lang w:val="en-US"/>
              </w:rPr>
            </w:pPr>
          </w:p>
          <w:p w14:paraId="35674A15" w14:textId="78EE1D2D" w:rsidR="003C045B" w:rsidRPr="00EA49D6" w:rsidRDefault="002511E0" w:rsidP="003C045B">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t>Member States shall provide the Commission on an annual basis with statistics on the volume of automatic exchanges under Articles 8(1), 8(3a), 8aa, 8ac and 8ae and with information on the administrative and other relevant costs and benefits relating to exchanges that have taken place and any potential changes, for both tax administrations and third parties.</w:t>
            </w:r>
          </w:p>
          <w:p w14:paraId="3369DF66" w14:textId="77777777" w:rsidR="00CE6B7A" w:rsidRPr="00EA49D6" w:rsidRDefault="00CE6B7A" w:rsidP="00CE6B7A">
            <w:pPr>
              <w:rPr>
                <w:rFonts w:ascii="Times New Roman" w:eastAsia="Calibri" w:hAnsi="Times New Roman" w:cs="Times New Roman"/>
                <w:iCs/>
                <w:sz w:val="18"/>
                <w:szCs w:val="18"/>
                <w:lang w:val="en-US"/>
              </w:rPr>
            </w:pPr>
          </w:p>
          <w:p w14:paraId="62A25992" w14:textId="5F2203F6" w:rsidR="003C045B" w:rsidRPr="00EA49D6" w:rsidRDefault="003C045B" w:rsidP="00CE6B7A">
            <w:pPr>
              <w:rPr>
                <w:rFonts w:ascii="Times New Roman" w:eastAsia="Calibri" w:hAnsi="Times New Roman" w:cs="Times New Roman"/>
                <w:iCs/>
                <w:sz w:val="18"/>
                <w:szCs w:val="18"/>
                <w:lang w:val="en-US"/>
              </w:rPr>
            </w:pPr>
          </w:p>
        </w:tc>
        <w:tc>
          <w:tcPr>
            <w:tcW w:w="540" w:type="dxa"/>
          </w:tcPr>
          <w:p w14:paraId="696A29FD" w14:textId="61FB2EF3" w:rsidR="003C045B" w:rsidRPr="00EA49D6" w:rsidRDefault="003C045B" w:rsidP="003C045B">
            <w:pPr>
              <w:jc w:val="center"/>
              <w:rPr>
                <w:rFonts w:ascii="Times New Roman" w:eastAsia="Calibri" w:hAnsi="Times New Roman" w:cs="Times New Roman"/>
                <w:sz w:val="18"/>
                <w:szCs w:val="18"/>
              </w:rPr>
            </w:pPr>
          </w:p>
        </w:tc>
        <w:tc>
          <w:tcPr>
            <w:tcW w:w="554" w:type="dxa"/>
          </w:tcPr>
          <w:p w14:paraId="3C152271" w14:textId="77777777" w:rsidR="0000140B" w:rsidRPr="00EA49D6" w:rsidRDefault="0000140B" w:rsidP="003C045B">
            <w:pPr>
              <w:jc w:val="center"/>
              <w:rPr>
                <w:rFonts w:ascii="Times New Roman" w:eastAsia="Calibri" w:hAnsi="Times New Roman" w:cs="Times New Roman"/>
                <w:sz w:val="18"/>
                <w:szCs w:val="18"/>
                <w:lang w:val="en-US"/>
              </w:rPr>
            </w:pPr>
          </w:p>
          <w:p w14:paraId="56E1EAE1" w14:textId="10237A3D" w:rsidR="003C045B" w:rsidRPr="00EA49D6" w:rsidRDefault="00C917BB" w:rsidP="003C045B">
            <w:pPr>
              <w:jc w:val="center"/>
              <w:rPr>
                <w:rFonts w:ascii="Times New Roman" w:eastAsia="Calibri" w:hAnsi="Times New Roman" w:cs="Times New Roman"/>
                <w:sz w:val="18"/>
                <w:szCs w:val="18"/>
                <w:highlight w:val="yellow"/>
                <w:lang w:val="en-US"/>
              </w:rPr>
            </w:pPr>
            <w:r w:rsidRPr="00EA49D6">
              <w:rPr>
                <w:rFonts w:ascii="Times New Roman" w:eastAsia="Calibri" w:hAnsi="Times New Roman" w:cs="Times New Roman"/>
                <w:sz w:val="18"/>
                <w:szCs w:val="18"/>
                <w:lang w:val="en-US"/>
              </w:rPr>
              <w:t>Article 1</w:t>
            </w:r>
            <w:r w:rsidR="00061FFB" w:rsidRPr="00EA49D6">
              <w:rPr>
                <w:rFonts w:ascii="Times New Roman" w:eastAsia="Calibri" w:hAnsi="Times New Roman" w:cs="Times New Roman"/>
                <w:sz w:val="18"/>
                <w:szCs w:val="18"/>
                <w:lang w:val="en-US"/>
              </w:rPr>
              <w:t>2</w:t>
            </w:r>
          </w:p>
        </w:tc>
        <w:tc>
          <w:tcPr>
            <w:tcW w:w="5040" w:type="dxa"/>
          </w:tcPr>
          <w:p w14:paraId="60414E92" w14:textId="77777777" w:rsidR="003C045B" w:rsidRPr="00EA49D6" w:rsidRDefault="003C045B" w:rsidP="003C045B">
            <w:pPr>
              <w:jc w:val="center"/>
              <w:rPr>
                <w:rFonts w:ascii="Times New Roman" w:hAnsi="Times New Roman" w:cs="Times New Roman"/>
                <w:sz w:val="18"/>
                <w:szCs w:val="18"/>
              </w:rPr>
            </w:pPr>
          </w:p>
          <w:p w14:paraId="2E30961B" w14:textId="72B25827" w:rsidR="00EB2C6A" w:rsidRPr="00EA49D6" w:rsidRDefault="00EB2C6A" w:rsidP="00EB2C6A">
            <w:pPr>
              <w:spacing w:line="276" w:lineRule="auto"/>
              <w:jc w:val="center"/>
              <w:rPr>
                <w:rFonts w:ascii="Times New Roman" w:eastAsia="Calibri" w:hAnsi="Times New Roman" w:cs="Times New Roman"/>
                <w:b/>
                <w:sz w:val="18"/>
                <w:szCs w:val="18"/>
              </w:rPr>
            </w:pPr>
            <w:r w:rsidRPr="00EA49D6">
              <w:rPr>
                <w:rFonts w:ascii="Times New Roman" w:eastAsia="Calibri" w:hAnsi="Times New Roman" w:cs="Times New Roman"/>
                <w:b/>
                <w:sz w:val="18"/>
                <w:szCs w:val="18"/>
              </w:rPr>
              <w:t>Article 1</w:t>
            </w:r>
            <w:r w:rsidR="000E09F3" w:rsidRPr="00EA49D6">
              <w:rPr>
                <w:rFonts w:ascii="Times New Roman" w:eastAsia="Calibri" w:hAnsi="Times New Roman" w:cs="Times New Roman"/>
                <w:b/>
                <w:sz w:val="18"/>
                <w:szCs w:val="18"/>
              </w:rPr>
              <w:t>2</w:t>
            </w:r>
          </w:p>
          <w:p w14:paraId="18FB4EF8" w14:textId="7D09FC9D" w:rsidR="00EB2C6A" w:rsidRPr="00EA49D6" w:rsidRDefault="00EB2C6A" w:rsidP="00EB2C6A">
            <w:pPr>
              <w:spacing w:line="276" w:lineRule="auto"/>
              <w:jc w:val="center"/>
              <w:rPr>
                <w:rFonts w:ascii="Times New Roman" w:eastAsia="Calibri" w:hAnsi="Times New Roman" w:cs="Times New Roman"/>
                <w:b/>
                <w:sz w:val="18"/>
                <w:szCs w:val="18"/>
              </w:rPr>
            </w:pPr>
            <w:r w:rsidRPr="00EA49D6">
              <w:rPr>
                <w:rFonts w:ascii="Times New Roman" w:eastAsia="Calibri" w:hAnsi="Times New Roman" w:cs="Times New Roman"/>
                <w:b/>
                <w:sz w:val="18"/>
                <w:szCs w:val="18"/>
              </w:rPr>
              <w:t>Statistics and evaluation</w:t>
            </w:r>
          </w:p>
          <w:p w14:paraId="032D0288" w14:textId="77777777" w:rsidR="00EB2C6A" w:rsidRPr="00EA49D6" w:rsidRDefault="00EB2C6A" w:rsidP="00EB2C6A">
            <w:pPr>
              <w:spacing w:line="276" w:lineRule="auto"/>
              <w:jc w:val="center"/>
              <w:rPr>
                <w:rFonts w:ascii="Times New Roman" w:eastAsia="Calibri" w:hAnsi="Times New Roman" w:cs="Times New Roman"/>
                <w:b/>
                <w:sz w:val="18"/>
                <w:szCs w:val="18"/>
              </w:rPr>
            </w:pPr>
          </w:p>
          <w:p w14:paraId="7C114CAB" w14:textId="43D95051" w:rsidR="00EB2C6A" w:rsidRPr="00EA49D6" w:rsidRDefault="00EB2C6A" w:rsidP="00EB2C6A">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1. The General Directorate of Tax</w:t>
            </w:r>
            <w:r w:rsidR="00766BAF" w:rsidRPr="00EA49D6">
              <w:rPr>
                <w:rFonts w:ascii="Times New Roman" w:eastAsia="Calibri" w:hAnsi="Times New Roman" w:cs="Times New Roman"/>
                <w:sz w:val="18"/>
                <w:szCs w:val="18"/>
              </w:rPr>
              <w:t>ation</w:t>
            </w:r>
            <w:r w:rsidRPr="00EA49D6">
              <w:rPr>
                <w:rFonts w:ascii="Times New Roman" w:eastAsia="Calibri" w:hAnsi="Times New Roman" w:cs="Times New Roman"/>
                <w:sz w:val="18"/>
                <w:szCs w:val="18"/>
              </w:rPr>
              <w:t>, in accordance with this law, shall submit to the Commission, each year, statistics on the amount of automatic exchanges, if possible information on administrative costs and other relevant costs and benefits in relation to the exchanges carried out and any possible changes, both for tax administrations and for third parties.</w:t>
            </w:r>
          </w:p>
          <w:p w14:paraId="3EB72E63" w14:textId="02EB1E5A" w:rsidR="00EB2C6A" w:rsidRPr="00EA49D6" w:rsidRDefault="00EB2C6A" w:rsidP="00EB2C6A">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2. The General Directorate of Taxation shall communicate to the Commission an annual assessment of the effectiveness of the automatic exchange of information under this law, as well as the practical results achieved.</w:t>
            </w:r>
          </w:p>
          <w:p w14:paraId="147B65F5" w14:textId="139C2D57" w:rsidR="00EB2C6A" w:rsidRPr="00EA49D6" w:rsidRDefault="00EB2C6A" w:rsidP="00EB2C6A">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 xml:space="preserve">3. Information communicated to the European Commission for evaluation and statistics under this law is subject to confidentiality </w:t>
            </w:r>
            <w:r w:rsidRPr="00EA49D6">
              <w:rPr>
                <w:rFonts w:ascii="Times New Roman" w:eastAsia="Calibri" w:hAnsi="Times New Roman" w:cs="Times New Roman"/>
                <w:sz w:val="18"/>
                <w:szCs w:val="18"/>
              </w:rPr>
              <w:lastRenderedPageBreak/>
              <w:t xml:space="preserve">and use restrictions  of </w:t>
            </w:r>
            <w:r w:rsidR="008B18B4" w:rsidRPr="00EA49D6">
              <w:rPr>
                <w:rFonts w:ascii="Times New Roman" w:eastAsia="Calibri" w:hAnsi="Times New Roman" w:cs="Times New Roman"/>
                <w:sz w:val="18"/>
                <w:szCs w:val="18"/>
              </w:rPr>
              <w:t>the l</w:t>
            </w:r>
            <w:r w:rsidRPr="00EA49D6">
              <w:rPr>
                <w:rFonts w:ascii="Times New Roman" w:eastAsia="Calibri" w:hAnsi="Times New Roman" w:cs="Times New Roman"/>
                <w:sz w:val="18"/>
                <w:szCs w:val="18"/>
              </w:rPr>
              <w:t xml:space="preserve">aw </w:t>
            </w:r>
            <w:r w:rsidR="008B18B4" w:rsidRPr="00EA49D6">
              <w:rPr>
                <w:rFonts w:ascii="Times New Roman" w:eastAsia="Calibri" w:hAnsi="Times New Roman" w:cs="Times New Roman"/>
                <w:sz w:val="18"/>
                <w:szCs w:val="18"/>
              </w:rPr>
              <w:t>o</w:t>
            </w:r>
            <w:r w:rsidRPr="00EA49D6">
              <w:rPr>
                <w:rFonts w:ascii="Times New Roman" w:eastAsia="Calibri" w:hAnsi="Times New Roman" w:cs="Times New Roman"/>
                <w:sz w:val="18"/>
                <w:szCs w:val="18"/>
              </w:rPr>
              <w:t>n Administrative Cooperation in the Field of Taxation and Exchange of Tax Information</w:t>
            </w:r>
            <w:r w:rsidR="009C5262" w:rsidRPr="00EA49D6">
              <w:rPr>
                <w:rFonts w:ascii="Times New Roman" w:eastAsia="Calibri" w:hAnsi="Times New Roman" w:cs="Times New Roman"/>
                <w:sz w:val="18"/>
                <w:szCs w:val="18"/>
              </w:rPr>
              <w:t>.</w:t>
            </w:r>
          </w:p>
          <w:p w14:paraId="7AD350A7" w14:textId="7177A378" w:rsidR="003C045B" w:rsidRPr="00EA49D6" w:rsidRDefault="00EB2C6A" w:rsidP="00EB2C6A">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 xml:space="preserve">4. The General Directorate of </w:t>
            </w:r>
            <w:r w:rsidR="00D732B4" w:rsidRPr="00EA49D6">
              <w:rPr>
                <w:rFonts w:ascii="Times New Roman" w:eastAsia="Calibri" w:hAnsi="Times New Roman" w:cs="Times New Roman"/>
                <w:sz w:val="18"/>
                <w:szCs w:val="18"/>
              </w:rPr>
              <w:t>Taxation</w:t>
            </w:r>
            <w:r w:rsidRPr="00EA49D6">
              <w:rPr>
                <w:rFonts w:ascii="Times New Roman" w:eastAsia="Calibri" w:hAnsi="Times New Roman" w:cs="Times New Roman"/>
                <w:sz w:val="18"/>
                <w:szCs w:val="18"/>
              </w:rPr>
              <w:t xml:space="preserve"> establish</w:t>
            </w:r>
            <w:r w:rsidR="00746C07" w:rsidRPr="00EA49D6">
              <w:rPr>
                <w:rFonts w:ascii="Times New Roman" w:eastAsia="Calibri" w:hAnsi="Times New Roman" w:cs="Times New Roman"/>
                <w:sz w:val="18"/>
                <w:szCs w:val="18"/>
              </w:rPr>
              <w:t>es</w:t>
            </w:r>
            <w:r w:rsidRPr="00EA49D6">
              <w:rPr>
                <w:rFonts w:ascii="Times New Roman" w:eastAsia="Calibri" w:hAnsi="Times New Roman" w:cs="Times New Roman"/>
                <w:sz w:val="18"/>
                <w:szCs w:val="18"/>
              </w:rPr>
              <w:t xml:space="preserve"> mechanisms to ensure that the information exchanged under this law is used effectively for risk analysis, screening, tax control and enforcement measures and shall regularly evaluate their performance.</w:t>
            </w:r>
          </w:p>
        </w:tc>
        <w:tc>
          <w:tcPr>
            <w:tcW w:w="720" w:type="dxa"/>
          </w:tcPr>
          <w:p w14:paraId="17CA02B8" w14:textId="441D3863" w:rsidR="003C045B" w:rsidRPr="00EA49D6" w:rsidRDefault="00C917BB" w:rsidP="003C045B">
            <w:pPr>
              <w:jc w:val="cente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lastRenderedPageBreak/>
              <w:t>F</w:t>
            </w:r>
          </w:p>
        </w:tc>
        <w:tc>
          <w:tcPr>
            <w:tcW w:w="3406" w:type="dxa"/>
          </w:tcPr>
          <w:p w14:paraId="62277331" w14:textId="25163563" w:rsidR="003C045B" w:rsidRPr="00EA49D6" w:rsidRDefault="00CE6B7A" w:rsidP="00CE6B7A">
            <w:pPr>
              <w:rPr>
                <w:rFonts w:ascii="Times New Roman" w:eastAsia="Calibri" w:hAnsi="Times New Roman" w:cs="Times New Roman"/>
                <w:sz w:val="18"/>
                <w:szCs w:val="18"/>
                <w:lang w:val="en-US"/>
              </w:rPr>
            </w:pPr>
            <w:r w:rsidRPr="00EA49D6">
              <w:rPr>
                <w:rFonts w:ascii="Times New Roman" w:eastAsia="Calibri" w:hAnsi="Times New Roman" w:cs="Times New Roman"/>
                <w:sz w:val="18"/>
                <w:szCs w:val="18"/>
                <w:lang w:val="en-US"/>
              </w:rPr>
              <w:t>.</w:t>
            </w:r>
          </w:p>
        </w:tc>
      </w:tr>
      <w:tr w:rsidR="00AD61E7" w:rsidRPr="00EA49D6" w14:paraId="52A8CC74" w14:textId="77777777" w:rsidTr="003675BD">
        <w:trPr>
          <w:trHeight w:val="1008"/>
        </w:trPr>
        <w:tc>
          <w:tcPr>
            <w:tcW w:w="540" w:type="dxa"/>
          </w:tcPr>
          <w:p w14:paraId="190CA677" w14:textId="77777777" w:rsidR="00AD61E7" w:rsidRPr="00EA49D6" w:rsidRDefault="00AD61E7" w:rsidP="00AF6E05">
            <w:pPr>
              <w:jc w:val="both"/>
              <w:rPr>
                <w:rFonts w:ascii="Times New Roman" w:eastAsia="Calibri" w:hAnsi="Times New Roman" w:cs="Times New Roman"/>
                <w:sz w:val="18"/>
                <w:szCs w:val="18"/>
                <w:lang w:val="en-US"/>
              </w:rPr>
            </w:pPr>
            <w:bookmarkStart w:id="3" w:name="_Hlk227914978"/>
          </w:p>
        </w:tc>
        <w:tc>
          <w:tcPr>
            <w:tcW w:w="5400" w:type="dxa"/>
            <w:shd w:val="clear" w:color="auto" w:fill="D0CECE" w:themeFill="background2" w:themeFillShade="E6"/>
          </w:tcPr>
          <w:p w14:paraId="38E797D5" w14:textId="77777777" w:rsidR="00EA49D6" w:rsidRPr="00EA49D6" w:rsidRDefault="00EA49D6" w:rsidP="00EA49D6">
            <w:pPr>
              <w:spacing w:line="276" w:lineRule="auto"/>
              <w:jc w:val="center"/>
              <w:rPr>
                <w:rFonts w:ascii="Times New Roman" w:eastAsia="Calibri" w:hAnsi="Times New Roman" w:cs="Times New Roman"/>
                <w:b/>
                <w:iCs/>
                <w:sz w:val="18"/>
                <w:szCs w:val="18"/>
                <w:lang w:val="en-US"/>
              </w:rPr>
            </w:pPr>
            <w:r w:rsidRPr="00EA49D6">
              <w:rPr>
                <w:rFonts w:ascii="Times New Roman" w:eastAsia="Calibri" w:hAnsi="Times New Roman" w:cs="Times New Roman"/>
                <w:b/>
                <w:iCs/>
                <w:sz w:val="18"/>
                <w:szCs w:val="18"/>
                <w:lang w:val="en-US"/>
              </w:rPr>
              <w:t>Article 23a</w:t>
            </w:r>
          </w:p>
          <w:p w14:paraId="27B8A983" w14:textId="77777777" w:rsidR="00EA49D6" w:rsidRPr="00EA49D6" w:rsidRDefault="00EA49D6" w:rsidP="00EA49D6">
            <w:pPr>
              <w:jc w:val="center"/>
              <w:rPr>
                <w:rFonts w:ascii="Times New Roman" w:eastAsia="Calibri" w:hAnsi="Times New Roman" w:cs="Times New Roman"/>
                <w:iCs/>
                <w:sz w:val="18"/>
                <w:szCs w:val="18"/>
                <w:lang w:val="en-US"/>
              </w:rPr>
            </w:pPr>
            <w:r w:rsidRPr="00EA49D6">
              <w:rPr>
                <w:rFonts w:ascii="Times New Roman" w:eastAsia="Calibri" w:hAnsi="Times New Roman" w:cs="Times New Roman"/>
                <w:b/>
                <w:iCs/>
                <w:sz w:val="18"/>
                <w:szCs w:val="18"/>
                <w:lang w:val="en-US"/>
              </w:rPr>
              <w:t>Confidentiality of information</w:t>
            </w:r>
          </w:p>
          <w:p w14:paraId="5902AE64" w14:textId="4462F11B" w:rsidR="00AD61E7" w:rsidRPr="00EA49D6" w:rsidRDefault="00AD61E7" w:rsidP="00B46145">
            <w:pPr>
              <w:spacing w:line="276" w:lineRule="auto"/>
              <w:jc w:val="center"/>
              <w:rPr>
                <w:rFonts w:ascii="Times New Roman" w:eastAsia="Calibri" w:hAnsi="Times New Roman" w:cs="Times New Roman"/>
                <w:iCs/>
                <w:sz w:val="18"/>
                <w:szCs w:val="18"/>
                <w:lang w:val="en-US"/>
              </w:rPr>
            </w:pPr>
          </w:p>
        </w:tc>
        <w:tc>
          <w:tcPr>
            <w:tcW w:w="540" w:type="dxa"/>
            <w:shd w:val="clear" w:color="auto" w:fill="D0CECE" w:themeFill="background2" w:themeFillShade="E6"/>
          </w:tcPr>
          <w:p w14:paraId="56E9111D" w14:textId="77777777" w:rsidR="00AD61E7" w:rsidRPr="00EA49D6" w:rsidRDefault="00AD61E7" w:rsidP="00AF6E05">
            <w:pPr>
              <w:rPr>
                <w:rFonts w:ascii="Times New Roman" w:eastAsia="Calibri" w:hAnsi="Times New Roman" w:cs="Times New Roman"/>
                <w:sz w:val="18"/>
                <w:szCs w:val="18"/>
              </w:rPr>
            </w:pPr>
          </w:p>
        </w:tc>
        <w:tc>
          <w:tcPr>
            <w:tcW w:w="554" w:type="dxa"/>
            <w:shd w:val="clear" w:color="auto" w:fill="D0CECE" w:themeFill="background2" w:themeFillShade="E6"/>
          </w:tcPr>
          <w:p w14:paraId="464256C2" w14:textId="77777777" w:rsidR="00AD61E7" w:rsidRPr="00EA49D6" w:rsidRDefault="00AD61E7" w:rsidP="00AF6E05">
            <w:pPr>
              <w:rPr>
                <w:rFonts w:ascii="Times New Roman" w:eastAsia="Calibri" w:hAnsi="Times New Roman" w:cs="Times New Roman"/>
                <w:sz w:val="18"/>
                <w:szCs w:val="18"/>
                <w:lang w:val="en-US"/>
              </w:rPr>
            </w:pPr>
          </w:p>
        </w:tc>
        <w:tc>
          <w:tcPr>
            <w:tcW w:w="5040" w:type="dxa"/>
            <w:shd w:val="clear" w:color="auto" w:fill="D0CECE" w:themeFill="background2" w:themeFillShade="E6"/>
          </w:tcPr>
          <w:p w14:paraId="62B87BC1" w14:textId="77777777" w:rsidR="00EA49D6" w:rsidRPr="00EA49D6" w:rsidRDefault="00EA49D6" w:rsidP="00EA49D6">
            <w:pPr>
              <w:widowControl w:val="0"/>
              <w:tabs>
                <w:tab w:val="left" w:pos="742"/>
                <w:tab w:val="left" w:pos="744"/>
              </w:tabs>
              <w:autoSpaceDE w:val="0"/>
              <w:autoSpaceDN w:val="0"/>
              <w:ind w:right="15"/>
              <w:jc w:val="center"/>
              <w:rPr>
                <w:rFonts w:ascii="Times New Roman" w:eastAsia="Calibri" w:hAnsi="Times New Roman" w:cs="Times New Roman"/>
                <w:b/>
                <w:bCs/>
                <w:sz w:val="18"/>
                <w:szCs w:val="18"/>
                <w:lang w:val="en-US"/>
              </w:rPr>
            </w:pPr>
            <w:r w:rsidRPr="00EA49D6">
              <w:rPr>
                <w:rFonts w:ascii="Times New Roman" w:eastAsia="Calibri" w:hAnsi="Times New Roman" w:cs="Times New Roman"/>
                <w:b/>
                <w:bCs/>
                <w:sz w:val="18"/>
                <w:szCs w:val="18"/>
                <w:lang w:val="en-US"/>
              </w:rPr>
              <w:t>Article 10</w:t>
            </w:r>
          </w:p>
          <w:p w14:paraId="5A709612" w14:textId="77777777" w:rsidR="00EA49D6" w:rsidRPr="00EA49D6" w:rsidRDefault="00EA49D6" w:rsidP="00EA49D6">
            <w:pPr>
              <w:jc w:val="center"/>
              <w:rPr>
                <w:rFonts w:ascii="Times New Roman" w:hAnsi="Times New Roman" w:cs="Times New Roman"/>
                <w:b/>
                <w:bCs/>
                <w:sz w:val="18"/>
                <w:szCs w:val="18"/>
              </w:rPr>
            </w:pPr>
            <w:r w:rsidRPr="00EA49D6">
              <w:rPr>
                <w:rFonts w:ascii="Times New Roman" w:hAnsi="Times New Roman" w:cs="Times New Roman"/>
                <w:b/>
                <w:bCs/>
                <w:sz w:val="18"/>
                <w:szCs w:val="18"/>
              </w:rPr>
              <w:t>Use of Information, Professional Secrecy, and Data Protection</w:t>
            </w:r>
          </w:p>
          <w:p w14:paraId="7A07266B" w14:textId="325D57B2" w:rsidR="0029047B" w:rsidRPr="00EA49D6" w:rsidRDefault="0029047B" w:rsidP="00AF6E05">
            <w:pPr>
              <w:widowControl w:val="0"/>
              <w:tabs>
                <w:tab w:val="left" w:pos="742"/>
                <w:tab w:val="left" w:pos="744"/>
              </w:tabs>
              <w:autoSpaceDE w:val="0"/>
              <w:autoSpaceDN w:val="0"/>
              <w:ind w:right="15"/>
              <w:jc w:val="both"/>
              <w:rPr>
                <w:rFonts w:ascii="Times New Roman" w:eastAsia="Calibri" w:hAnsi="Times New Roman" w:cs="Times New Roman"/>
                <w:sz w:val="18"/>
                <w:szCs w:val="18"/>
                <w:lang w:val="en-US"/>
              </w:rPr>
            </w:pPr>
          </w:p>
        </w:tc>
        <w:tc>
          <w:tcPr>
            <w:tcW w:w="720" w:type="dxa"/>
            <w:shd w:val="clear" w:color="auto" w:fill="D0CECE" w:themeFill="background2" w:themeFillShade="E6"/>
          </w:tcPr>
          <w:p w14:paraId="7F59BDD2" w14:textId="77777777" w:rsidR="00AD61E7" w:rsidRPr="00EA49D6" w:rsidRDefault="00AD61E7" w:rsidP="00AF6E05">
            <w:pPr>
              <w:jc w:val="center"/>
              <w:rPr>
                <w:rFonts w:ascii="Times New Roman" w:eastAsia="Calibri" w:hAnsi="Times New Roman" w:cs="Times New Roman"/>
                <w:sz w:val="18"/>
                <w:szCs w:val="18"/>
                <w:lang w:val="en-US"/>
              </w:rPr>
            </w:pPr>
          </w:p>
        </w:tc>
        <w:tc>
          <w:tcPr>
            <w:tcW w:w="3406" w:type="dxa"/>
            <w:shd w:val="clear" w:color="auto" w:fill="D0CECE" w:themeFill="background2" w:themeFillShade="E6"/>
          </w:tcPr>
          <w:p w14:paraId="30D4114F" w14:textId="77777777" w:rsidR="00AD61E7" w:rsidRPr="00EA49D6" w:rsidRDefault="00AD61E7" w:rsidP="00AF6E05">
            <w:pPr>
              <w:rPr>
                <w:rFonts w:ascii="Times New Roman" w:eastAsia="Calibri" w:hAnsi="Times New Roman" w:cs="Times New Roman"/>
                <w:sz w:val="18"/>
                <w:szCs w:val="18"/>
                <w:lang w:val="en-US"/>
              </w:rPr>
            </w:pPr>
          </w:p>
        </w:tc>
      </w:tr>
      <w:bookmarkEnd w:id="3"/>
      <w:tr w:rsidR="0029047B" w:rsidRPr="00EA49D6" w14:paraId="5B377569" w14:textId="77777777" w:rsidTr="003675BD">
        <w:trPr>
          <w:trHeight w:val="2204"/>
        </w:trPr>
        <w:tc>
          <w:tcPr>
            <w:tcW w:w="540" w:type="dxa"/>
          </w:tcPr>
          <w:p w14:paraId="316BEC04" w14:textId="77777777" w:rsidR="0029047B" w:rsidRPr="00EA49D6" w:rsidRDefault="0029047B" w:rsidP="003C045B">
            <w:pPr>
              <w:jc w:val="both"/>
              <w:rPr>
                <w:rFonts w:ascii="Times New Roman" w:eastAsia="Calibri" w:hAnsi="Times New Roman" w:cs="Times New Roman"/>
                <w:sz w:val="18"/>
                <w:szCs w:val="18"/>
              </w:rPr>
            </w:pPr>
          </w:p>
        </w:tc>
        <w:tc>
          <w:tcPr>
            <w:tcW w:w="5400" w:type="dxa"/>
          </w:tcPr>
          <w:p w14:paraId="144A1F56" w14:textId="40C23646" w:rsidR="0029047B" w:rsidRPr="00EA49D6" w:rsidRDefault="0029047B" w:rsidP="00B46145">
            <w:pPr>
              <w:jc w:val="both"/>
              <w:rPr>
                <w:rFonts w:ascii="Times New Roman" w:eastAsia="Calibri" w:hAnsi="Times New Roman" w:cs="Times New Roman"/>
                <w:iCs/>
                <w:sz w:val="18"/>
                <w:szCs w:val="18"/>
                <w:lang w:val="en-US"/>
              </w:rPr>
            </w:pPr>
            <w:r w:rsidRPr="00EA49D6">
              <w:rPr>
                <w:rFonts w:ascii="Times New Roman" w:eastAsia="Calibri" w:hAnsi="Times New Roman" w:cs="Times New Roman"/>
                <w:iCs/>
                <w:sz w:val="18"/>
                <w:szCs w:val="18"/>
                <w:lang w:val="en-US"/>
              </w:rPr>
              <w:t>1. Information communicated to the Commission pursuant to this Directive shall be kept confidential by the Commission in accordance with the provisions applicable to Union authorities and may not be used for any purposes other than those required to determine whether and to what extent Member States comply with this Directive.</w:t>
            </w:r>
          </w:p>
        </w:tc>
        <w:tc>
          <w:tcPr>
            <w:tcW w:w="540" w:type="dxa"/>
          </w:tcPr>
          <w:p w14:paraId="7AA0DD76" w14:textId="77777777" w:rsidR="0029047B" w:rsidRPr="00EA49D6" w:rsidRDefault="0029047B" w:rsidP="003C045B">
            <w:pPr>
              <w:jc w:val="center"/>
              <w:rPr>
                <w:rFonts w:ascii="Times New Roman" w:eastAsia="Calibri" w:hAnsi="Times New Roman" w:cs="Times New Roman"/>
                <w:sz w:val="18"/>
                <w:szCs w:val="18"/>
                <w:highlight w:val="cyan"/>
              </w:rPr>
            </w:pPr>
          </w:p>
        </w:tc>
        <w:tc>
          <w:tcPr>
            <w:tcW w:w="554" w:type="dxa"/>
          </w:tcPr>
          <w:p w14:paraId="05E894B9" w14:textId="77777777" w:rsidR="0029047B" w:rsidRPr="00EA49D6" w:rsidRDefault="0029047B" w:rsidP="003C045B">
            <w:pPr>
              <w:jc w:val="center"/>
              <w:rPr>
                <w:rFonts w:ascii="Times New Roman" w:eastAsia="Calibri" w:hAnsi="Times New Roman" w:cs="Times New Roman"/>
                <w:sz w:val="18"/>
                <w:szCs w:val="18"/>
                <w:highlight w:val="cyan"/>
                <w:lang w:val="en-US"/>
              </w:rPr>
            </w:pPr>
          </w:p>
          <w:p w14:paraId="3B4BD771" w14:textId="77777777" w:rsidR="0029047B" w:rsidRPr="00EA49D6" w:rsidRDefault="0029047B" w:rsidP="003C045B">
            <w:pPr>
              <w:jc w:val="center"/>
              <w:rPr>
                <w:rFonts w:ascii="Times New Roman" w:eastAsia="Calibri" w:hAnsi="Times New Roman" w:cs="Times New Roman"/>
                <w:sz w:val="18"/>
                <w:szCs w:val="18"/>
                <w:highlight w:val="cyan"/>
                <w:lang w:val="en-US"/>
              </w:rPr>
            </w:pPr>
          </w:p>
          <w:p w14:paraId="085CF30E" w14:textId="469E2059" w:rsidR="0029047B" w:rsidRPr="00EA49D6" w:rsidRDefault="0029047B" w:rsidP="003C045B">
            <w:pPr>
              <w:jc w:val="center"/>
              <w:rPr>
                <w:rFonts w:ascii="Times New Roman" w:eastAsia="Calibri" w:hAnsi="Times New Roman" w:cs="Times New Roman"/>
                <w:sz w:val="18"/>
                <w:szCs w:val="18"/>
                <w:highlight w:val="cyan"/>
                <w:lang w:val="en-US"/>
              </w:rPr>
            </w:pPr>
            <w:r w:rsidRPr="00EA49D6">
              <w:rPr>
                <w:rFonts w:ascii="Times New Roman" w:eastAsia="Calibri" w:hAnsi="Times New Roman" w:cs="Times New Roman"/>
                <w:sz w:val="18"/>
                <w:szCs w:val="18"/>
                <w:lang w:val="en-US"/>
              </w:rPr>
              <w:t>N/A</w:t>
            </w:r>
          </w:p>
        </w:tc>
        <w:tc>
          <w:tcPr>
            <w:tcW w:w="5040" w:type="dxa"/>
            <w:vMerge w:val="restart"/>
          </w:tcPr>
          <w:p w14:paraId="41948E32" w14:textId="77777777" w:rsidR="0029047B" w:rsidRPr="00EA49D6" w:rsidRDefault="0029047B" w:rsidP="00EA49D6">
            <w:pPr>
              <w:spacing w:before="100" w:beforeAutospacing="1" w:after="100" w:afterAutospacing="1"/>
              <w:jc w:val="both"/>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1. Data protection within the framework of this Law shall be governed by the provisions of the Law “On Administrative Cooperation in the Field of Taxation and the Exchange of Tax Information.”</w:t>
            </w:r>
          </w:p>
          <w:p w14:paraId="7B1FEEF9" w14:textId="77777777" w:rsidR="0029047B" w:rsidRPr="00EA49D6" w:rsidRDefault="0029047B" w:rsidP="00EA49D6">
            <w:pPr>
              <w:spacing w:before="100" w:beforeAutospacing="1" w:after="100" w:afterAutospacing="1"/>
              <w:jc w:val="both"/>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 xml:space="preserve">2. Information received and exchanged pursuant to this Law shall be used solely for the purposes of the administration and enforcement of tax legislation, as well as for tax risk assessment and </w:t>
            </w:r>
            <w:r w:rsidRPr="00EA49D6">
              <w:rPr>
                <w:rFonts w:ascii="Times New Roman" w:eastAsia="Times New Roman" w:hAnsi="Times New Roman" w:cs="Times New Roman"/>
                <w:sz w:val="18"/>
                <w:szCs w:val="18"/>
                <w:lang w:val="en-US"/>
              </w:rPr>
              <w:lastRenderedPageBreak/>
              <w:t>analysis, in accordance with the purpose for which such information was obtained or provided.</w:t>
            </w:r>
          </w:p>
          <w:p w14:paraId="131FCC5B" w14:textId="77777777" w:rsidR="0029047B" w:rsidRPr="00EA49D6" w:rsidRDefault="0029047B" w:rsidP="00EA49D6">
            <w:pPr>
              <w:spacing w:before="100" w:beforeAutospacing="1" w:after="100" w:afterAutospacing="1"/>
              <w:jc w:val="both"/>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3. Exchanged information shall be treated as professional and tax secrecy and shall not be disclosed to unauthorized persons, except in cases expressly provided for under the legislation in force on personal data protection [insert law number, date, and full title].</w:t>
            </w:r>
          </w:p>
          <w:p w14:paraId="45EF8950" w14:textId="77777777" w:rsidR="0029047B" w:rsidRPr="00EA49D6" w:rsidRDefault="0029047B" w:rsidP="00EA49D6">
            <w:pPr>
              <w:spacing w:before="100" w:beforeAutospacing="1" w:after="100" w:afterAutospacing="1"/>
              <w:jc w:val="both"/>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4. The General Directorate of Taxes and the competent authorities shall ensure the confidentiality, integrity, and security of the information exchanged, as well as the protection of personal data, in accordance with the Albanian legislation on personal data protection and the Law on Administrative Cooperation in the Field of Taxation [insert law number and date].</w:t>
            </w:r>
          </w:p>
          <w:p w14:paraId="11739C21" w14:textId="77777777" w:rsidR="0029047B" w:rsidRPr="00EA49D6" w:rsidRDefault="0029047B" w:rsidP="00EA49D6">
            <w:pPr>
              <w:spacing w:before="100" w:beforeAutospacing="1" w:after="100" w:afterAutospacing="1"/>
              <w:jc w:val="both"/>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5. The processing, storage, and use of information shall be carried out in accordance with the principles of purpose limitation, proportionality, necessity, and data security, as provided for under the legislation in force.</w:t>
            </w:r>
          </w:p>
          <w:p w14:paraId="5ED812D9" w14:textId="77777777" w:rsidR="0029047B" w:rsidRPr="00EA49D6" w:rsidRDefault="0029047B" w:rsidP="00EB2C6A">
            <w:pPr>
              <w:spacing w:line="276" w:lineRule="auto"/>
              <w:jc w:val="both"/>
              <w:rPr>
                <w:rFonts w:ascii="Times New Roman" w:hAnsi="Times New Roman" w:cs="Times New Roman"/>
                <w:sz w:val="18"/>
                <w:szCs w:val="18"/>
                <w:lang w:val="en-US"/>
              </w:rPr>
            </w:pPr>
          </w:p>
          <w:p w14:paraId="70E504E0" w14:textId="6F185829" w:rsidR="0029047B" w:rsidRPr="00EA49D6" w:rsidRDefault="0029047B" w:rsidP="00654FB9">
            <w:pPr>
              <w:jc w:val="center"/>
              <w:rPr>
                <w:rFonts w:ascii="Times New Roman" w:hAnsi="Times New Roman" w:cs="Times New Roman"/>
                <w:sz w:val="18"/>
                <w:szCs w:val="18"/>
              </w:rPr>
            </w:pPr>
          </w:p>
        </w:tc>
        <w:tc>
          <w:tcPr>
            <w:tcW w:w="720" w:type="dxa"/>
          </w:tcPr>
          <w:p w14:paraId="3C16DEDB" w14:textId="77777777" w:rsidR="0029047B" w:rsidRPr="00EA49D6" w:rsidRDefault="0029047B" w:rsidP="003C045B">
            <w:pPr>
              <w:jc w:val="center"/>
              <w:rPr>
                <w:rFonts w:ascii="Times New Roman" w:eastAsia="Calibri" w:hAnsi="Times New Roman" w:cs="Times New Roman"/>
                <w:sz w:val="18"/>
                <w:szCs w:val="18"/>
              </w:rPr>
            </w:pPr>
          </w:p>
          <w:p w14:paraId="1CF8E656" w14:textId="221AEDE5" w:rsidR="0029047B" w:rsidRPr="00EA49D6" w:rsidRDefault="0029047B"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N/A</w:t>
            </w:r>
          </w:p>
        </w:tc>
        <w:tc>
          <w:tcPr>
            <w:tcW w:w="3406" w:type="dxa"/>
          </w:tcPr>
          <w:p w14:paraId="5B465FA1" w14:textId="77777777" w:rsidR="0029047B" w:rsidRPr="00EA49D6" w:rsidRDefault="0029047B" w:rsidP="008036D5">
            <w:pPr>
              <w:rPr>
                <w:rFonts w:ascii="Times New Roman" w:eastAsia="Calibri" w:hAnsi="Times New Roman" w:cs="Times New Roman"/>
                <w:sz w:val="18"/>
                <w:szCs w:val="18"/>
              </w:rPr>
            </w:pPr>
          </w:p>
          <w:p w14:paraId="3E354471" w14:textId="77777777" w:rsidR="0029047B" w:rsidRPr="00EA49D6" w:rsidRDefault="0029047B" w:rsidP="008036D5">
            <w:pPr>
              <w:rPr>
                <w:rFonts w:ascii="Times New Roman" w:eastAsia="Calibri" w:hAnsi="Times New Roman" w:cs="Times New Roman"/>
                <w:sz w:val="18"/>
                <w:szCs w:val="18"/>
              </w:rPr>
            </w:pPr>
            <w:r w:rsidRPr="00EA49D6">
              <w:rPr>
                <w:rFonts w:ascii="Times New Roman" w:eastAsia="Calibri" w:hAnsi="Times New Roman" w:cs="Times New Roman"/>
                <w:sz w:val="18"/>
                <w:szCs w:val="18"/>
              </w:rPr>
              <w:t>It is a binding provision for the European Commission regarding data protection and confidentiality and not for the member states.</w:t>
            </w:r>
          </w:p>
          <w:p w14:paraId="13A92685" w14:textId="2019AAC9" w:rsidR="0029047B" w:rsidRPr="00EA49D6" w:rsidRDefault="0029047B" w:rsidP="008036D5">
            <w:pPr>
              <w:rPr>
                <w:rFonts w:ascii="Times New Roman" w:eastAsia="Calibri" w:hAnsi="Times New Roman" w:cs="Times New Roman"/>
                <w:sz w:val="18"/>
                <w:szCs w:val="18"/>
              </w:rPr>
            </w:pPr>
            <w:r w:rsidRPr="00EA49D6">
              <w:rPr>
                <w:rFonts w:ascii="Times New Roman" w:hAnsi="Times New Roman" w:cs="Times New Roman"/>
                <w:sz w:val="18"/>
                <w:szCs w:val="18"/>
              </w:rPr>
              <w:t xml:space="preserve">Notwithstanding, </w:t>
            </w:r>
            <w:r w:rsidRPr="00EA49D6">
              <w:rPr>
                <w:rFonts w:ascii="Times New Roman" w:eastAsia="Calibri" w:hAnsi="Times New Roman" w:cs="Times New Roman"/>
                <w:sz w:val="18"/>
                <w:szCs w:val="18"/>
              </w:rPr>
              <w:t>we have inserted  an article for the nation provision on confidentiallity</w:t>
            </w:r>
          </w:p>
        </w:tc>
      </w:tr>
      <w:tr w:rsidR="0029047B" w:rsidRPr="00EA49D6" w14:paraId="6EC6B39D" w14:textId="77777777" w:rsidTr="003675BD">
        <w:trPr>
          <w:trHeight w:val="3824"/>
        </w:trPr>
        <w:tc>
          <w:tcPr>
            <w:tcW w:w="540" w:type="dxa"/>
          </w:tcPr>
          <w:p w14:paraId="29EC6592" w14:textId="77777777" w:rsidR="0029047B" w:rsidRPr="00EA49D6" w:rsidRDefault="0029047B" w:rsidP="003C045B">
            <w:pPr>
              <w:jc w:val="both"/>
              <w:rPr>
                <w:rFonts w:ascii="Times New Roman" w:eastAsia="Calibri" w:hAnsi="Times New Roman" w:cs="Times New Roman"/>
                <w:sz w:val="18"/>
                <w:szCs w:val="18"/>
              </w:rPr>
            </w:pPr>
          </w:p>
        </w:tc>
        <w:tc>
          <w:tcPr>
            <w:tcW w:w="5400" w:type="dxa"/>
          </w:tcPr>
          <w:p w14:paraId="6E73D4E2" w14:textId="6E3D96E9" w:rsidR="0029047B" w:rsidRPr="00EA49D6" w:rsidRDefault="0029047B" w:rsidP="00B46145">
            <w:pPr>
              <w:jc w:val="both"/>
              <w:rPr>
                <w:rFonts w:ascii="Times New Roman" w:eastAsia="Calibri" w:hAnsi="Times New Roman" w:cs="Times New Roman"/>
                <w:iCs/>
                <w:sz w:val="18"/>
                <w:szCs w:val="18"/>
              </w:rPr>
            </w:pPr>
          </w:p>
          <w:p w14:paraId="43214F52" w14:textId="77777777" w:rsidR="0029047B" w:rsidRPr="00EA49D6" w:rsidRDefault="0029047B" w:rsidP="00B46145">
            <w:pPr>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2. Information communicated to the Commission by a Member State under Article 23, as well as any report or document produced by the Commission using such information, may be transmitted to other Member States. Such transmitted information shall be covered by the obligation of official secrecy and enjoy the protection extended to similar information under the national law of the Member State which received it.</w:t>
            </w:r>
          </w:p>
          <w:p w14:paraId="6FECC7DD" w14:textId="77777777" w:rsidR="0029047B" w:rsidRPr="00EA49D6" w:rsidRDefault="0029047B" w:rsidP="00B46145">
            <w:pPr>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Reports and documents produced by the Commission, referred to in the first subparagraph, may be used by Member States only for analytical purposes, and shall not be published or made available to any other person or body without the express agreement of the Commission.</w:t>
            </w:r>
          </w:p>
          <w:p w14:paraId="69BC69A3" w14:textId="77777777" w:rsidR="0029047B" w:rsidRPr="00EA49D6" w:rsidRDefault="0029047B" w:rsidP="00B46145">
            <w:pPr>
              <w:jc w:val="both"/>
              <w:rPr>
                <w:rFonts w:ascii="Times New Roman" w:eastAsia="Calibri" w:hAnsi="Times New Roman" w:cs="Times New Roman"/>
                <w:iCs/>
                <w:sz w:val="18"/>
                <w:szCs w:val="18"/>
              </w:rPr>
            </w:pPr>
          </w:p>
          <w:p w14:paraId="7C2D71E5" w14:textId="77777777" w:rsidR="0029047B" w:rsidRPr="00EA49D6" w:rsidRDefault="0029047B" w:rsidP="00B46145">
            <w:pPr>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Notwithstanding the first and second subparagraphs, the Commission may publish annually anonymized summaries of the statistical data that Member States communicate to it in accordance with Article 23(4).</w:t>
            </w:r>
          </w:p>
          <w:p w14:paraId="76775CAB" w14:textId="77777777" w:rsidR="0029047B" w:rsidRPr="00EA49D6" w:rsidRDefault="0029047B" w:rsidP="00B46145">
            <w:pPr>
              <w:jc w:val="both"/>
              <w:rPr>
                <w:rFonts w:ascii="Times New Roman" w:eastAsia="Calibri" w:hAnsi="Times New Roman" w:cs="Times New Roman"/>
                <w:iCs/>
                <w:sz w:val="18"/>
                <w:szCs w:val="18"/>
              </w:rPr>
            </w:pPr>
          </w:p>
          <w:p w14:paraId="6D0159F8" w14:textId="74C35553" w:rsidR="0029047B" w:rsidRPr="00EA49D6" w:rsidRDefault="0029047B" w:rsidP="00B46145">
            <w:pPr>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 xml:space="preserve">                                                               </w:t>
            </w:r>
          </w:p>
        </w:tc>
        <w:tc>
          <w:tcPr>
            <w:tcW w:w="540" w:type="dxa"/>
          </w:tcPr>
          <w:p w14:paraId="67E56751" w14:textId="77777777" w:rsidR="0029047B" w:rsidRPr="00EA49D6" w:rsidRDefault="0029047B" w:rsidP="003C045B">
            <w:pPr>
              <w:jc w:val="center"/>
              <w:rPr>
                <w:rFonts w:ascii="Times New Roman" w:eastAsia="Calibri" w:hAnsi="Times New Roman" w:cs="Times New Roman"/>
                <w:sz w:val="18"/>
                <w:szCs w:val="18"/>
                <w:highlight w:val="cyan"/>
              </w:rPr>
            </w:pPr>
          </w:p>
        </w:tc>
        <w:tc>
          <w:tcPr>
            <w:tcW w:w="554" w:type="dxa"/>
          </w:tcPr>
          <w:p w14:paraId="66B981BD" w14:textId="2BE9F216" w:rsidR="0029047B" w:rsidRPr="00EA49D6" w:rsidRDefault="0029047B" w:rsidP="003C045B">
            <w:pPr>
              <w:jc w:val="center"/>
              <w:rPr>
                <w:rFonts w:ascii="Times New Roman" w:eastAsia="Calibri" w:hAnsi="Times New Roman" w:cs="Times New Roman"/>
                <w:sz w:val="18"/>
                <w:szCs w:val="18"/>
                <w:highlight w:val="cyan"/>
              </w:rPr>
            </w:pPr>
            <w:r w:rsidRPr="00EA49D6">
              <w:rPr>
                <w:rFonts w:ascii="Times New Roman" w:eastAsia="Calibri" w:hAnsi="Times New Roman" w:cs="Times New Roman"/>
                <w:sz w:val="18"/>
                <w:szCs w:val="18"/>
              </w:rPr>
              <w:t>N/A</w:t>
            </w:r>
          </w:p>
        </w:tc>
        <w:tc>
          <w:tcPr>
            <w:tcW w:w="5040" w:type="dxa"/>
            <w:vMerge/>
          </w:tcPr>
          <w:p w14:paraId="75B31E67" w14:textId="249A625C" w:rsidR="0029047B" w:rsidRPr="00EA49D6" w:rsidRDefault="0029047B" w:rsidP="00654FB9">
            <w:pPr>
              <w:jc w:val="center"/>
              <w:rPr>
                <w:rFonts w:ascii="Times New Roman" w:hAnsi="Times New Roman" w:cs="Times New Roman"/>
                <w:sz w:val="18"/>
                <w:szCs w:val="18"/>
              </w:rPr>
            </w:pPr>
          </w:p>
        </w:tc>
        <w:tc>
          <w:tcPr>
            <w:tcW w:w="720" w:type="dxa"/>
          </w:tcPr>
          <w:p w14:paraId="73A24116" w14:textId="6CE86F0E" w:rsidR="0029047B" w:rsidRPr="00EA49D6" w:rsidRDefault="0029047B"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N/A</w:t>
            </w:r>
          </w:p>
        </w:tc>
        <w:tc>
          <w:tcPr>
            <w:tcW w:w="3406" w:type="dxa"/>
          </w:tcPr>
          <w:p w14:paraId="2AAA03C9" w14:textId="77777777" w:rsidR="0029047B" w:rsidRPr="00EA49D6" w:rsidRDefault="0029047B" w:rsidP="008036D5">
            <w:pPr>
              <w:rPr>
                <w:rFonts w:ascii="Times New Roman" w:eastAsia="Calibri" w:hAnsi="Times New Roman" w:cs="Times New Roman"/>
                <w:sz w:val="18"/>
                <w:szCs w:val="18"/>
              </w:rPr>
            </w:pPr>
            <w:r w:rsidRPr="00EA49D6">
              <w:rPr>
                <w:rFonts w:ascii="Times New Roman" w:eastAsia="Calibri" w:hAnsi="Times New Roman" w:cs="Times New Roman"/>
                <w:sz w:val="18"/>
                <w:szCs w:val="18"/>
              </w:rPr>
              <w:t>It is a binding provision for the European Commission regarding data protection and confidentiality and not for the member states.</w:t>
            </w:r>
          </w:p>
          <w:p w14:paraId="32A7E9F2" w14:textId="49D4AD54" w:rsidR="0029047B" w:rsidRPr="00EA49D6" w:rsidRDefault="0029047B" w:rsidP="008036D5">
            <w:pPr>
              <w:rPr>
                <w:rFonts w:ascii="Times New Roman" w:eastAsia="Calibri" w:hAnsi="Times New Roman" w:cs="Times New Roman"/>
                <w:sz w:val="18"/>
                <w:szCs w:val="18"/>
              </w:rPr>
            </w:pPr>
            <w:r w:rsidRPr="00EA49D6">
              <w:rPr>
                <w:rFonts w:ascii="Times New Roman" w:hAnsi="Times New Roman" w:cs="Times New Roman"/>
                <w:sz w:val="18"/>
                <w:szCs w:val="18"/>
              </w:rPr>
              <w:t xml:space="preserve">Notwithstanding, </w:t>
            </w:r>
            <w:r w:rsidRPr="00EA49D6">
              <w:rPr>
                <w:rFonts w:ascii="Times New Roman" w:eastAsia="Calibri" w:hAnsi="Times New Roman" w:cs="Times New Roman"/>
                <w:sz w:val="18"/>
                <w:szCs w:val="18"/>
              </w:rPr>
              <w:t>we have inserted  an article for the nation provision on confidentiallity</w:t>
            </w:r>
          </w:p>
        </w:tc>
      </w:tr>
      <w:tr w:rsidR="00EA49D6" w:rsidRPr="00EA49D6" w14:paraId="69A84E87" w14:textId="77777777" w:rsidTr="003675BD">
        <w:trPr>
          <w:trHeight w:val="2204"/>
        </w:trPr>
        <w:tc>
          <w:tcPr>
            <w:tcW w:w="540" w:type="dxa"/>
          </w:tcPr>
          <w:p w14:paraId="79F744B8" w14:textId="77777777" w:rsidR="00EA49D6" w:rsidRPr="00EA49D6" w:rsidRDefault="00EA49D6" w:rsidP="003C045B">
            <w:pPr>
              <w:jc w:val="both"/>
              <w:rPr>
                <w:rFonts w:ascii="Times New Roman" w:eastAsia="Calibri" w:hAnsi="Times New Roman" w:cs="Times New Roman"/>
                <w:sz w:val="18"/>
                <w:szCs w:val="18"/>
              </w:rPr>
            </w:pPr>
          </w:p>
        </w:tc>
        <w:tc>
          <w:tcPr>
            <w:tcW w:w="5400" w:type="dxa"/>
          </w:tcPr>
          <w:p w14:paraId="411E2C04" w14:textId="77777777" w:rsidR="00EA49D6" w:rsidRPr="00EA49D6" w:rsidRDefault="00EA49D6" w:rsidP="00EA49D6">
            <w:pPr>
              <w:jc w:val="center"/>
              <w:rPr>
                <w:rFonts w:ascii="Times New Roman" w:eastAsia="Calibri" w:hAnsi="Times New Roman" w:cs="Times New Roman"/>
                <w:b/>
                <w:iCs/>
                <w:sz w:val="18"/>
                <w:szCs w:val="18"/>
              </w:rPr>
            </w:pPr>
            <w:r w:rsidRPr="00EA49D6">
              <w:rPr>
                <w:rFonts w:ascii="Times New Roman" w:eastAsia="Calibri" w:hAnsi="Times New Roman" w:cs="Times New Roman"/>
                <w:b/>
                <w:iCs/>
                <w:sz w:val="18"/>
                <w:szCs w:val="18"/>
              </w:rPr>
              <w:t>Article 2</w:t>
            </w:r>
          </w:p>
          <w:p w14:paraId="1E143152" w14:textId="77777777" w:rsidR="00EA49D6" w:rsidRPr="00EA49D6" w:rsidRDefault="00EA49D6" w:rsidP="00E67446">
            <w:pPr>
              <w:jc w:val="center"/>
              <w:rPr>
                <w:rFonts w:ascii="Times New Roman" w:eastAsia="Calibri" w:hAnsi="Times New Roman" w:cs="Times New Roman"/>
                <w:b/>
                <w:iCs/>
                <w:sz w:val="18"/>
                <w:szCs w:val="18"/>
              </w:rPr>
            </w:pPr>
          </w:p>
        </w:tc>
        <w:tc>
          <w:tcPr>
            <w:tcW w:w="540" w:type="dxa"/>
          </w:tcPr>
          <w:p w14:paraId="07B4CE9D" w14:textId="77777777" w:rsidR="00EA49D6" w:rsidRPr="00EA49D6" w:rsidRDefault="00EA49D6" w:rsidP="003C045B">
            <w:pPr>
              <w:jc w:val="center"/>
              <w:rPr>
                <w:rFonts w:ascii="Times New Roman" w:eastAsia="Calibri" w:hAnsi="Times New Roman" w:cs="Times New Roman"/>
                <w:b/>
                <w:sz w:val="18"/>
                <w:szCs w:val="18"/>
                <w:highlight w:val="cyan"/>
              </w:rPr>
            </w:pPr>
          </w:p>
        </w:tc>
        <w:tc>
          <w:tcPr>
            <w:tcW w:w="554" w:type="dxa"/>
          </w:tcPr>
          <w:p w14:paraId="3E671CE0" w14:textId="77777777" w:rsidR="00EA49D6" w:rsidRPr="00EA49D6" w:rsidRDefault="00EA49D6" w:rsidP="003C045B">
            <w:pPr>
              <w:jc w:val="center"/>
              <w:rPr>
                <w:rFonts w:ascii="Times New Roman" w:eastAsia="Calibri" w:hAnsi="Times New Roman" w:cs="Times New Roman"/>
                <w:b/>
                <w:sz w:val="18"/>
                <w:szCs w:val="18"/>
              </w:rPr>
            </w:pPr>
          </w:p>
        </w:tc>
        <w:tc>
          <w:tcPr>
            <w:tcW w:w="5040" w:type="dxa"/>
          </w:tcPr>
          <w:p w14:paraId="49C8D66E" w14:textId="77777777" w:rsidR="00EA49D6" w:rsidRPr="00EA49D6" w:rsidRDefault="00EA49D6" w:rsidP="00EA49D6">
            <w:pPr>
              <w:spacing w:before="100" w:beforeAutospacing="1" w:after="100" w:afterAutospacing="1"/>
              <w:jc w:val="center"/>
              <w:rPr>
                <w:rFonts w:ascii="Times New Roman" w:eastAsia="Times New Roman" w:hAnsi="Times New Roman" w:cs="Times New Roman"/>
                <w:b/>
                <w:sz w:val="18"/>
                <w:szCs w:val="18"/>
              </w:rPr>
            </w:pPr>
            <w:r w:rsidRPr="00EA49D6">
              <w:rPr>
                <w:rFonts w:ascii="Times New Roman" w:eastAsia="Times New Roman" w:hAnsi="Times New Roman" w:cs="Times New Roman"/>
                <w:b/>
                <w:sz w:val="18"/>
                <w:szCs w:val="18"/>
              </w:rPr>
              <w:t>Article 11</w:t>
            </w:r>
          </w:p>
          <w:p w14:paraId="14CB8DED" w14:textId="0D741D37" w:rsidR="00EA49D6" w:rsidRPr="003F08B9" w:rsidRDefault="003F08B9" w:rsidP="003F08B9">
            <w:pPr>
              <w:spacing w:before="100" w:beforeAutospacing="1" w:after="100" w:afterAutospacing="1" w:line="240" w:lineRule="atLeast"/>
              <w:jc w:val="center"/>
              <w:rPr>
                <w:rFonts w:ascii="Times New Roman" w:eastAsia="Times New Roman" w:hAnsi="Times New Roman" w:cs="Times New Roman"/>
                <w:b/>
                <w:bCs/>
                <w:sz w:val="18"/>
                <w:szCs w:val="18"/>
              </w:rPr>
            </w:pPr>
            <w:r w:rsidRPr="003F08B9">
              <w:rPr>
                <w:rFonts w:ascii="Times New Roman" w:hAnsi="Times New Roman" w:cs="Times New Roman"/>
                <w:b/>
                <w:bCs/>
                <w:sz w:val="18"/>
                <w:szCs w:val="18"/>
              </w:rPr>
              <w:t>Data Breaches, Notification, and Corrective Measures</w:t>
            </w:r>
          </w:p>
        </w:tc>
        <w:tc>
          <w:tcPr>
            <w:tcW w:w="720" w:type="dxa"/>
          </w:tcPr>
          <w:p w14:paraId="60107AB0" w14:textId="77777777" w:rsidR="00EA49D6" w:rsidRPr="00EA49D6" w:rsidRDefault="00EA49D6" w:rsidP="003C045B">
            <w:pPr>
              <w:jc w:val="center"/>
              <w:rPr>
                <w:rFonts w:ascii="Times New Roman" w:eastAsia="Calibri" w:hAnsi="Times New Roman" w:cs="Times New Roman"/>
                <w:sz w:val="18"/>
                <w:szCs w:val="18"/>
              </w:rPr>
            </w:pPr>
          </w:p>
        </w:tc>
        <w:tc>
          <w:tcPr>
            <w:tcW w:w="3406" w:type="dxa"/>
          </w:tcPr>
          <w:p w14:paraId="733F979D" w14:textId="77777777" w:rsidR="00EA49D6" w:rsidRPr="00EA49D6" w:rsidRDefault="00EA49D6" w:rsidP="00A45944">
            <w:pPr>
              <w:jc w:val="both"/>
              <w:rPr>
                <w:rFonts w:ascii="Times New Roman" w:eastAsia="Calibri" w:hAnsi="Times New Roman" w:cs="Times New Roman"/>
                <w:sz w:val="18"/>
                <w:szCs w:val="18"/>
              </w:rPr>
            </w:pPr>
          </w:p>
        </w:tc>
      </w:tr>
      <w:tr w:rsidR="00E67446" w:rsidRPr="00EA49D6" w14:paraId="59D7550E" w14:textId="77777777" w:rsidTr="003675BD">
        <w:trPr>
          <w:trHeight w:val="2204"/>
        </w:trPr>
        <w:tc>
          <w:tcPr>
            <w:tcW w:w="540" w:type="dxa"/>
          </w:tcPr>
          <w:p w14:paraId="5B91E6AC" w14:textId="77777777" w:rsidR="00E67446" w:rsidRPr="00EA49D6" w:rsidRDefault="00E67446" w:rsidP="003C045B">
            <w:pPr>
              <w:jc w:val="both"/>
              <w:rPr>
                <w:rFonts w:ascii="Times New Roman" w:eastAsia="Calibri" w:hAnsi="Times New Roman" w:cs="Times New Roman"/>
                <w:sz w:val="18"/>
                <w:szCs w:val="18"/>
              </w:rPr>
            </w:pPr>
          </w:p>
        </w:tc>
        <w:tc>
          <w:tcPr>
            <w:tcW w:w="5400" w:type="dxa"/>
          </w:tcPr>
          <w:p w14:paraId="50FEC3A9" w14:textId="77777777" w:rsidR="00E67446" w:rsidRPr="00EA49D6" w:rsidRDefault="00E67446" w:rsidP="00E67446">
            <w:pPr>
              <w:jc w:val="both"/>
              <w:rPr>
                <w:rFonts w:ascii="Times New Roman" w:eastAsia="Calibri" w:hAnsi="Times New Roman" w:cs="Times New Roman"/>
                <w:iCs/>
                <w:sz w:val="18"/>
                <w:szCs w:val="18"/>
              </w:rPr>
            </w:pPr>
          </w:p>
          <w:p w14:paraId="58A4F95E" w14:textId="77777777" w:rsidR="00E67446" w:rsidRPr="00EA49D6" w:rsidRDefault="00E67446" w:rsidP="00E67446">
            <w:pPr>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1. Member States shall adopt and publish, by 31 December 2016, the laws, regulations and administrative provisions necessary to comply with this Directive. They shall forthwith communicate to the Commission the text of those measures.</w:t>
            </w:r>
          </w:p>
          <w:p w14:paraId="4BFF7638" w14:textId="77777777" w:rsidR="00E67446" w:rsidRPr="00EA49D6" w:rsidRDefault="00E67446" w:rsidP="00E67446">
            <w:pPr>
              <w:jc w:val="both"/>
              <w:rPr>
                <w:rFonts w:ascii="Times New Roman" w:eastAsia="Calibri" w:hAnsi="Times New Roman" w:cs="Times New Roman"/>
                <w:iCs/>
                <w:sz w:val="18"/>
                <w:szCs w:val="18"/>
              </w:rPr>
            </w:pPr>
          </w:p>
          <w:p w14:paraId="226731D7" w14:textId="77777777" w:rsidR="00E67446" w:rsidRPr="00EA49D6" w:rsidRDefault="00E67446" w:rsidP="00E67446">
            <w:pPr>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They shall apply those measures from January 1, 2017.</w:t>
            </w:r>
          </w:p>
          <w:p w14:paraId="6BEFC35E" w14:textId="77777777" w:rsidR="00E67446" w:rsidRPr="00EA49D6" w:rsidRDefault="00E67446" w:rsidP="00E67446">
            <w:pPr>
              <w:jc w:val="both"/>
              <w:rPr>
                <w:rFonts w:ascii="Times New Roman" w:eastAsia="Calibri" w:hAnsi="Times New Roman" w:cs="Times New Roman"/>
                <w:iCs/>
                <w:sz w:val="18"/>
                <w:szCs w:val="18"/>
              </w:rPr>
            </w:pPr>
          </w:p>
          <w:p w14:paraId="6826EB2D" w14:textId="77777777" w:rsidR="00E67446" w:rsidRPr="00EA49D6" w:rsidRDefault="00E67446" w:rsidP="00E67446">
            <w:pPr>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When Member States adopt those measures, they shall contain a reference to this Directive or be accompanied by such a reference on the occasion of their official publication. Member States shall determine how such reference is to be made.</w:t>
            </w:r>
          </w:p>
          <w:p w14:paraId="38190B45" w14:textId="77777777" w:rsidR="00E67446" w:rsidRPr="00EA49D6" w:rsidRDefault="00E67446" w:rsidP="00E67446">
            <w:pPr>
              <w:jc w:val="both"/>
              <w:rPr>
                <w:rFonts w:ascii="Times New Roman" w:eastAsia="Calibri" w:hAnsi="Times New Roman" w:cs="Times New Roman"/>
                <w:iCs/>
                <w:sz w:val="18"/>
                <w:szCs w:val="18"/>
              </w:rPr>
            </w:pPr>
          </w:p>
          <w:p w14:paraId="074B3957" w14:textId="33D21B73" w:rsidR="00E67446" w:rsidRPr="00EA49D6" w:rsidRDefault="00E67446" w:rsidP="00E67446">
            <w:pPr>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2. Member States shall communicate to the Commission the text of the main provisions of national law which they adopt in the field covered by this Directive.</w:t>
            </w:r>
          </w:p>
        </w:tc>
        <w:tc>
          <w:tcPr>
            <w:tcW w:w="540" w:type="dxa"/>
          </w:tcPr>
          <w:p w14:paraId="6BE384D0" w14:textId="77777777" w:rsidR="00E67446" w:rsidRPr="00EA49D6" w:rsidRDefault="00E67446" w:rsidP="003C045B">
            <w:pPr>
              <w:jc w:val="center"/>
              <w:rPr>
                <w:rFonts w:ascii="Times New Roman" w:eastAsia="Calibri" w:hAnsi="Times New Roman" w:cs="Times New Roman"/>
                <w:sz w:val="18"/>
                <w:szCs w:val="18"/>
                <w:highlight w:val="cyan"/>
              </w:rPr>
            </w:pPr>
          </w:p>
        </w:tc>
        <w:tc>
          <w:tcPr>
            <w:tcW w:w="554" w:type="dxa"/>
          </w:tcPr>
          <w:p w14:paraId="126B00F9" w14:textId="0BF34CC4" w:rsidR="00E67446" w:rsidRPr="00EA49D6" w:rsidRDefault="00A45944" w:rsidP="003C045B">
            <w:pPr>
              <w:jc w:val="center"/>
              <w:rPr>
                <w:rFonts w:ascii="Times New Roman" w:eastAsia="Calibri" w:hAnsi="Times New Roman" w:cs="Times New Roman"/>
                <w:sz w:val="18"/>
                <w:szCs w:val="18"/>
                <w:highlight w:val="cyan"/>
              </w:rPr>
            </w:pPr>
            <w:r w:rsidRPr="00EA49D6">
              <w:rPr>
                <w:rFonts w:ascii="Times New Roman" w:eastAsia="Calibri" w:hAnsi="Times New Roman" w:cs="Times New Roman"/>
                <w:sz w:val="18"/>
                <w:szCs w:val="18"/>
              </w:rPr>
              <w:t>N/A</w:t>
            </w:r>
          </w:p>
        </w:tc>
        <w:tc>
          <w:tcPr>
            <w:tcW w:w="5040" w:type="dxa"/>
          </w:tcPr>
          <w:p w14:paraId="1C560408" w14:textId="77777777" w:rsidR="0068227A" w:rsidRPr="00EA49D6" w:rsidRDefault="0068227A" w:rsidP="00EA49D6">
            <w:pPr>
              <w:pStyle w:val="NormalWeb"/>
              <w:numPr>
                <w:ilvl w:val="0"/>
                <w:numId w:val="47"/>
              </w:numPr>
              <w:spacing w:before="100" w:beforeAutospacing="1" w:after="100" w:afterAutospacing="1" w:line="240" w:lineRule="auto"/>
              <w:jc w:val="both"/>
              <w:rPr>
                <w:sz w:val="18"/>
                <w:szCs w:val="18"/>
              </w:rPr>
            </w:pPr>
            <w:r w:rsidRPr="00EA49D6">
              <w:rPr>
                <w:sz w:val="18"/>
                <w:szCs w:val="18"/>
              </w:rPr>
              <w:t>Where a data breach occurs in the Republic of Albania in relation to information processed under this Law, the General Directorate of Taxes shall, without undue delay, notify the European Commission of the breach and of the corrective measures taken. The Commission shall promptly inform the Member States.</w:t>
            </w:r>
          </w:p>
          <w:p w14:paraId="2AE56DA4" w14:textId="77777777" w:rsidR="0068227A" w:rsidRPr="00EA49D6" w:rsidRDefault="0068227A" w:rsidP="00EA49D6">
            <w:pPr>
              <w:pStyle w:val="NormalWeb"/>
              <w:numPr>
                <w:ilvl w:val="0"/>
                <w:numId w:val="47"/>
              </w:numPr>
              <w:spacing w:before="100" w:beforeAutospacing="1" w:after="100" w:afterAutospacing="1" w:line="240" w:lineRule="auto"/>
              <w:jc w:val="both"/>
              <w:rPr>
                <w:sz w:val="18"/>
                <w:szCs w:val="18"/>
              </w:rPr>
            </w:pPr>
            <w:r w:rsidRPr="00EA49D6">
              <w:rPr>
                <w:sz w:val="18"/>
                <w:szCs w:val="18"/>
              </w:rPr>
              <w:t>In the event that the breach in the Republic of Albania cannot be contained immediately and properly, the General Directorate of Taxes shall request the suspension of the Republic of Albania’s CCN access for the purposes of this Law. The Commission shall suspend such access and reinstate it once the breach has been remedied, including, where necessary, the conduct of joint verifications.</w:t>
            </w:r>
          </w:p>
          <w:p w14:paraId="3EABF209" w14:textId="77777777" w:rsidR="0068227A" w:rsidRPr="00EA49D6" w:rsidRDefault="0068227A" w:rsidP="00EA49D6">
            <w:pPr>
              <w:pStyle w:val="NormalWeb"/>
              <w:numPr>
                <w:ilvl w:val="0"/>
                <w:numId w:val="47"/>
              </w:numPr>
              <w:spacing w:before="100" w:beforeAutospacing="1" w:after="100" w:afterAutospacing="1" w:line="240" w:lineRule="auto"/>
              <w:jc w:val="both"/>
              <w:rPr>
                <w:sz w:val="18"/>
                <w:szCs w:val="18"/>
              </w:rPr>
            </w:pPr>
            <w:r w:rsidRPr="00EA49D6">
              <w:rPr>
                <w:sz w:val="18"/>
                <w:szCs w:val="18"/>
              </w:rPr>
              <w:t>The General Directorate of Taxes may suspend the exchange of information with a Member State where a breach has occurred, notifying the Commission and the relevant Member State in writing, with immediate effect.</w:t>
            </w:r>
          </w:p>
          <w:p w14:paraId="65712BB8" w14:textId="77777777" w:rsidR="0068227A" w:rsidRPr="00EA49D6" w:rsidRDefault="0068227A" w:rsidP="00EA49D6">
            <w:pPr>
              <w:pStyle w:val="NormalWeb"/>
              <w:numPr>
                <w:ilvl w:val="0"/>
                <w:numId w:val="47"/>
              </w:numPr>
              <w:spacing w:before="100" w:beforeAutospacing="1" w:after="100" w:afterAutospacing="1" w:line="240" w:lineRule="auto"/>
              <w:jc w:val="both"/>
              <w:rPr>
                <w:sz w:val="18"/>
                <w:szCs w:val="18"/>
              </w:rPr>
            </w:pPr>
            <w:r w:rsidRPr="00EA49D6">
              <w:rPr>
                <w:sz w:val="18"/>
                <w:szCs w:val="18"/>
              </w:rPr>
              <w:t>Where a breach occurs in the central register or in the CCN, the Commission shall notify the Member States without undue delay and may suspend access until the breach has been remedied.</w:t>
            </w:r>
          </w:p>
          <w:p w14:paraId="41A713A0" w14:textId="77777777" w:rsidR="0068227A" w:rsidRPr="00EA49D6" w:rsidRDefault="0068227A" w:rsidP="00EA49D6">
            <w:pPr>
              <w:pStyle w:val="NormalWeb"/>
              <w:numPr>
                <w:ilvl w:val="0"/>
                <w:numId w:val="47"/>
              </w:numPr>
              <w:spacing w:before="100" w:beforeAutospacing="1" w:after="100" w:afterAutospacing="1" w:line="240" w:lineRule="auto"/>
              <w:jc w:val="both"/>
              <w:rPr>
                <w:sz w:val="18"/>
                <w:szCs w:val="18"/>
              </w:rPr>
            </w:pPr>
            <w:r w:rsidRPr="00EA49D6">
              <w:rPr>
                <w:sz w:val="18"/>
                <w:szCs w:val="18"/>
              </w:rPr>
              <w:t>The General Directorate of Taxes shall implement and maintain data breach management processes in accordance with internationally recognised best practices and practical arrangements agreed with the Commission (including, where appropriate, joint controller or controller–processor arrangements or models)</w:t>
            </w:r>
          </w:p>
          <w:p w14:paraId="2E110908" w14:textId="13FB0041" w:rsidR="00E67446" w:rsidRPr="00EA49D6" w:rsidRDefault="00E67446" w:rsidP="00A45944">
            <w:pPr>
              <w:spacing w:line="276" w:lineRule="auto"/>
              <w:jc w:val="center"/>
              <w:rPr>
                <w:rFonts w:ascii="Times New Roman" w:hAnsi="Times New Roman" w:cs="Times New Roman"/>
                <w:sz w:val="18"/>
                <w:szCs w:val="18"/>
              </w:rPr>
            </w:pPr>
          </w:p>
        </w:tc>
        <w:tc>
          <w:tcPr>
            <w:tcW w:w="720" w:type="dxa"/>
          </w:tcPr>
          <w:p w14:paraId="5E9430B3" w14:textId="1F456BB2" w:rsidR="00E67446" w:rsidRPr="00EA49D6" w:rsidRDefault="00A84098"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F</w:t>
            </w:r>
          </w:p>
        </w:tc>
        <w:tc>
          <w:tcPr>
            <w:tcW w:w="3406" w:type="dxa"/>
          </w:tcPr>
          <w:p w14:paraId="249C0BF7" w14:textId="77777777" w:rsidR="00E67446" w:rsidRPr="00EA49D6" w:rsidRDefault="00A45944" w:rsidP="00A45944">
            <w:pPr>
              <w:jc w:val="both"/>
              <w:rPr>
                <w:rFonts w:ascii="Times New Roman" w:eastAsia="Calibri" w:hAnsi="Times New Roman" w:cs="Times New Roman"/>
                <w:sz w:val="18"/>
                <w:szCs w:val="18"/>
              </w:rPr>
            </w:pPr>
            <w:r w:rsidRPr="00EA49D6">
              <w:rPr>
                <w:rFonts w:ascii="Times New Roman" w:eastAsia="Calibri" w:hAnsi="Times New Roman" w:cs="Times New Roman"/>
                <w:sz w:val="18"/>
                <w:szCs w:val="18"/>
              </w:rPr>
              <w:t>It does not require transposition, it is a provision addressed to the member states and it sets outdated dates about adopting and publishing the law.</w:t>
            </w:r>
          </w:p>
          <w:p w14:paraId="66E0846E" w14:textId="77777777" w:rsidR="00A84098" w:rsidRPr="00EA49D6" w:rsidRDefault="00A84098" w:rsidP="00A84098">
            <w:pPr>
              <w:spacing w:before="100" w:beforeAutospacing="1" w:after="100" w:afterAutospacing="1"/>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In order to ensure full compliance with this Directive, this specific draft law has been prepared.</w:t>
            </w:r>
          </w:p>
          <w:p w14:paraId="4E456B98" w14:textId="68135A87" w:rsidR="00A84098" w:rsidRPr="003F08B9" w:rsidRDefault="003F08B9" w:rsidP="00A84098">
            <w:pPr>
              <w:spacing w:before="100" w:beforeAutospacing="1" w:after="100" w:afterAutospacing="1"/>
              <w:rPr>
                <w:rFonts w:ascii="Times New Roman" w:eastAsia="Times New Roman" w:hAnsi="Times New Roman" w:cs="Times New Roman"/>
                <w:sz w:val="18"/>
                <w:szCs w:val="18"/>
                <w:lang w:val="en-US"/>
              </w:rPr>
            </w:pPr>
            <w:r w:rsidRPr="003F08B9">
              <w:rPr>
                <w:rFonts w:ascii="Times New Roman" w:hAnsi="Times New Roman" w:cs="Times New Roman"/>
                <w:sz w:val="18"/>
                <w:szCs w:val="18"/>
              </w:rPr>
              <w:t>This draft law also includes Article 11, which relates to measures concerning data breaches, notification, and corrective measures.</w:t>
            </w:r>
          </w:p>
          <w:p w14:paraId="761D3717" w14:textId="76C3CEC4" w:rsidR="00A84098" w:rsidRPr="00EA49D6" w:rsidRDefault="00A84098" w:rsidP="00A45944">
            <w:pPr>
              <w:jc w:val="both"/>
              <w:rPr>
                <w:rFonts w:ascii="Times New Roman" w:eastAsia="Calibri" w:hAnsi="Times New Roman" w:cs="Times New Roman"/>
                <w:sz w:val="18"/>
                <w:szCs w:val="18"/>
                <w:lang w:val="en-US"/>
              </w:rPr>
            </w:pPr>
          </w:p>
        </w:tc>
      </w:tr>
      <w:tr w:rsidR="00B46145" w:rsidRPr="00EA49D6" w14:paraId="17E5AF2A" w14:textId="77777777" w:rsidTr="003675BD">
        <w:trPr>
          <w:trHeight w:val="2204"/>
        </w:trPr>
        <w:tc>
          <w:tcPr>
            <w:tcW w:w="540" w:type="dxa"/>
          </w:tcPr>
          <w:p w14:paraId="25097CAA" w14:textId="77777777" w:rsidR="00B46145" w:rsidRPr="00EA49D6" w:rsidRDefault="00B46145" w:rsidP="003C045B">
            <w:pPr>
              <w:jc w:val="both"/>
              <w:rPr>
                <w:rFonts w:ascii="Times New Roman" w:eastAsia="Calibri" w:hAnsi="Times New Roman" w:cs="Times New Roman"/>
                <w:sz w:val="18"/>
                <w:szCs w:val="18"/>
              </w:rPr>
            </w:pPr>
          </w:p>
        </w:tc>
        <w:tc>
          <w:tcPr>
            <w:tcW w:w="5400" w:type="dxa"/>
          </w:tcPr>
          <w:p w14:paraId="085955E3" w14:textId="77777777" w:rsidR="00B46145" w:rsidRPr="00EA49D6" w:rsidRDefault="00B46145" w:rsidP="00B46145">
            <w:pPr>
              <w:jc w:val="center"/>
              <w:rPr>
                <w:rFonts w:ascii="Times New Roman" w:eastAsia="Calibri" w:hAnsi="Times New Roman" w:cs="Times New Roman"/>
                <w:b/>
                <w:iCs/>
                <w:sz w:val="18"/>
                <w:szCs w:val="18"/>
              </w:rPr>
            </w:pPr>
            <w:r w:rsidRPr="00EA49D6">
              <w:rPr>
                <w:rFonts w:ascii="Times New Roman" w:eastAsia="Calibri" w:hAnsi="Times New Roman" w:cs="Times New Roman"/>
                <w:b/>
                <w:iCs/>
                <w:sz w:val="18"/>
                <w:szCs w:val="18"/>
              </w:rPr>
              <w:t>Article 3</w:t>
            </w:r>
          </w:p>
          <w:p w14:paraId="6640975D" w14:textId="77777777" w:rsidR="00B46145" w:rsidRPr="00EA49D6" w:rsidRDefault="00B46145" w:rsidP="00B46145">
            <w:pPr>
              <w:jc w:val="both"/>
              <w:rPr>
                <w:rFonts w:ascii="Times New Roman" w:eastAsia="Calibri" w:hAnsi="Times New Roman" w:cs="Times New Roman"/>
                <w:iCs/>
                <w:sz w:val="18"/>
                <w:szCs w:val="18"/>
              </w:rPr>
            </w:pPr>
          </w:p>
          <w:p w14:paraId="780054BB" w14:textId="56FBC9F0" w:rsidR="00B46145" w:rsidRPr="00EA49D6" w:rsidRDefault="00B46145" w:rsidP="00B46145">
            <w:pPr>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This Directive shall enter into force on the day of its publication in the Official Journal of the European Union.</w:t>
            </w:r>
          </w:p>
        </w:tc>
        <w:tc>
          <w:tcPr>
            <w:tcW w:w="540" w:type="dxa"/>
          </w:tcPr>
          <w:p w14:paraId="3FBF7502" w14:textId="77777777" w:rsidR="00B46145" w:rsidRPr="00EA49D6" w:rsidRDefault="00B46145" w:rsidP="003C045B">
            <w:pPr>
              <w:jc w:val="center"/>
              <w:rPr>
                <w:rFonts w:ascii="Times New Roman" w:eastAsia="Calibri" w:hAnsi="Times New Roman" w:cs="Times New Roman"/>
                <w:sz w:val="18"/>
                <w:szCs w:val="18"/>
                <w:highlight w:val="cyan"/>
              </w:rPr>
            </w:pPr>
          </w:p>
        </w:tc>
        <w:tc>
          <w:tcPr>
            <w:tcW w:w="554" w:type="dxa"/>
          </w:tcPr>
          <w:p w14:paraId="3AAF0B11" w14:textId="77777777" w:rsidR="002D7485" w:rsidRPr="00EA49D6" w:rsidRDefault="00BA7D26" w:rsidP="002D7485">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 xml:space="preserve">Article </w:t>
            </w:r>
            <w:r w:rsidR="00C92686" w:rsidRPr="00EA49D6">
              <w:rPr>
                <w:rFonts w:ascii="Times New Roman" w:eastAsia="Calibri" w:hAnsi="Times New Roman" w:cs="Times New Roman"/>
                <w:sz w:val="18"/>
                <w:szCs w:val="18"/>
              </w:rPr>
              <w:t>1</w:t>
            </w:r>
            <w:r w:rsidRPr="00EA49D6">
              <w:rPr>
                <w:rFonts w:ascii="Times New Roman" w:eastAsia="Calibri" w:hAnsi="Times New Roman" w:cs="Times New Roman"/>
                <w:sz w:val="18"/>
                <w:szCs w:val="18"/>
              </w:rPr>
              <w:t>3</w:t>
            </w:r>
          </w:p>
          <w:p w14:paraId="2EF896EF" w14:textId="68485BA6" w:rsidR="002D7485" w:rsidRPr="00EA49D6" w:rsidRDefault="002D7485" w:rsidP="002D7485">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and 14</w:t>
            </w:r>
          </w:p>
        </w:tc>
        <w:tc>
          <w:tcPr>
            <w:tcW w:w="5040" w:type="dxa"/>
          </w:tcPr>
          <w:p w14:paraId="7BA14B2D" w14:textId="574AA515" w:rsidR="002D7485" w:rsidRPr="00EA49D6" w:rsidRDefault="002D7485" w:rsidP="00BA7D26">
            <w:pPr>
              <w:spacing w:before="100" w:beforeAutospacing="1" w:after="100" w:afterAutospacing="1" w:line="300" w:lineRule="atLeast"/>
              <w:jc w:val="center"/>
              <w:rPr>
                <w:rFonts w:ascii="Times New Roman" w:eastAsia="Times New Roman" w:hAnsi="Times New Roman" w:cs="Times New Roman"/>
                <w:b/>
                <w:bCs/>
                <w:sz w:val="18"/>
                <w:szCs w:val="18"/>
                <w:lang w:val="en-US"/>
              </w:rPr>
            </w:pPr>
            <w:r w:rsidRPr="00EA49D6">
              <w:rPr>
                <w:rFonts w:ascii="Times New Roman" w:eastAsia="Times New Roman" w:hAnsi="Times New Roman" w:cs="Times New Roman"/>
                <w:b/>
                <w:bCs/>
                <w:sz w:val="18"/>
                <w:szCs w:val="18"/>
                <w:lang w:val="en-US"/>
              </w:rPr>
              <w:t>Article 13</w:t>
            </w:r>
          </w:p>
          <w:p w14:paraId="75CE06FD" w14:textId="45415A57" w:rsidR="002D7485" w:rsidRPr="00EA49D6" w:rsidRDefault="002D7485" w:rsidP="00EA49D6">
            <w:pPr>
              <w:spacing w:before="100" w:beforeAutospacing="1" w:after="100" w:afterAutospacing="1" w:line="300" w:lineRule="atLeast"/>
              <w:jc w:val="both"/>
              <w:rPr>
                <w:rFonts w:ascii="Times New Roman" w:eastAsia="Times New Roman" w:hAnsi="Times New Roman" w:cs="Times New Roman"/>
                <w:b/>
                <w:bCs/>
                <w:sz w:val="18"/>
                <w:szCs w:val="18"/>
                <w:lang w:val="en-US"/>
              </w:rPr>
            </w:pPr>
            <w:r w:rsidRPr="00EA49D6">
              <w:rPr>
                <w:rFonts w:ascii="Times New Roman" w:eastAsia="Times New Roman" w:hAnsi="Times New Roman" w:cs="Times New Roman"/>
                <w:sz w:val="18"/>
                <w:szCs w:val="18"/>
                <w:lang w:val="en-US"/>
              </w:rPr>
              <w:t xml:space="preserve">The Council of Ministers shall be responsible for issuing the </w:t>
            </w:r>
            <w:r w:rsidR="00652E31" w:rsidRPr="00EA49D6">
              <w:rPr>
                <w:rFonts w:ascii="Times New Roman" w:eastAsia="Times New Roman" w:hAnsi="Times New Roman" w:cs="Times New Roman"/>
                <w:sz w:val="18"/>
                <w:szCs w:val="18"/>
                <w:lang w:val="en-US"/>
              </w:rPr>
              <w:t>Decision</w:t>
            </w:r>
            <w:r w:rsidRPr="00EA49D6">
              <w:rPr>
                <w:rFonts w:ascii="Times New Roman" w:eastAsia="Times New Roman" w:hAnsi="Times New Roman" w:cs="Times New Roman"/>
                <w:sz w:val="18"/>
                <w:szCs w:val="18"/>
                <w:lang w:val="en-US"/>
              </w:rPr>
              <w:t xml:space="preserve"> for the implementation of this law within six months from its entry into force</w:t>
            </w:r>
            <w:r w:rsidR="00652E31" w:rsidRPr="00EA49D6">
              <w:rPr>
                <w:rFonts w:ascii="Times New Roman" w:eastAsia="Times New Roman" w:hAnsi="Times New Roman" w:cs="Times New Roman"/>
                <w:sz w:val="18"/>
                <w:szCs w:val="18"/>
                <w:lang w:val="en-US"/>
              </w:rPr>
              <w:t>.</w:t>
            </w:r>
          </w:p>
          <w:p w14:paraId="59AD6FD4" w14:textId="38CCC108" w:rsidR="00BA7D26" w:rsidRPr="00EA49D6" w:rsidRDefault="002D7485" w:rsidP="00BA7D26">
            <w:pPr>
              <w:spacing w:before="100" w:beforeAutospacing="1" w:after="100" w:afterAutospacing="1" w:line="300" w:lineRule="atLeast"/>
              <w:jc w:val="center"/>
              <w:rPr>
                <w:rFonts w:ascii="Times New Roman" w:eastAsia="Times New Roman" w:hAnsi="Times New Roman" w:cs="Times New Roman"/>
                <w:sz w:val="18"/>
                <w:szCs w:val="18"/>
                <w:lang w:val="en-US"/>
              </w:rPr>
            </w:pPr>
            <w:r w:rsidRPr="00EA49D6">
              <w:rPr>
                <w:rFonts w:ascii="Times New Roman" w:eastAsia="Times New Roman" w:hAnsi="Times New Roman" w:cs="Times New Roman"/>
                <w:b/>
                <w:bCs/>
                <w:sz w:val="18"/>
                <w:szCs w:val="18"/>
                <w:lang w:val="en-US"/>
              </w:rPr>
              <w:t>Article 14</w:t>
            </w:r>
            <w:r w:rsidR="00BA7D26" w:rsidRPr="00EA49D6">
              <w:rPr>
                <w:rFonts w:ascii="Times New Roman" w:eastAsia="Times New Roman" w:hAnsi="Times New Roman" w:cs="Times New Roman"/>
                <w:sz w:val="18"/>
                <w:szCs w:val="18"/>
                <w:lang w:val="en-US"/>
              </w:rPr>
              <w:br/>
            </w:r>
            <w:r w:rsidR="00BA7D26" w:rsidRPr="00EA49D6">
              <w:rPr>
                <w:rFonts w:ascii="Times New Roman" w:eastAsia="Times New Roman" w:hAnsi="Times New Roman" w:cs="Times New Roman"/>
                <w:b/>
                <w:bCs/>
                <w:sz w:val="18"/>
                <w:szCs w:val="18"/>
                <w:lang w:val="en-US"/>
              </w:rPr>
              <w:t>Entry into force and transitional measures</w:t>
            </w:r>
          </w:p>
          <w:p w14:paraId="6DA7EEEE" w14:textId="77777777" w:rsidR="00BA7D26" w:rsidRPr="00EA49D6" w:rsidRDefault="00BA7D26" w:rsidP="00BA7D26">
            <w:pPr>
              <w:numPr>
                <w:ilvl w:val="0"/>
                <w:numId w:val="45"/>
              </w:numPr>
              <w:spacing w:before="100" w:beforeAutospacing="1" w:after="100" w:afterAutospacing="1" w:line="300" w:lineRule="atLeast"/>
              <w:jc w:val="both"/>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This law shall enter into force 15 days after its publication in the Official Gazette.</w:t>
            </w:r>
          </w:p>
          <w:p w14:paraId="5E861546" w14:textId="4CC90AEE" w:rsidR="00BA7D26" w:rsidRPr="00EA49D6" w:rsidRDefault="00BA7D26" w:rsidP="00BA7D26">
            <w:pPr>
              <w:numPr>
                <w:ilvl w:val="0"/>
                <w:numId w:val="45"/>
              </w:numPr>
              <w:spacing w:before="100" w:beforeAutospacing="1" w:after="100" w:afterAutospacing="1" w:line="300" w:lineRule="atLeast"/>
              <w:jc w:val="both"/>
              <w:rPr>
                <w:rFonts w:ascii="Times New Roman" w:eastAsia="Times New Roman" w:hAnsi="Times New Roman" w:cs="Times New Roman"/>
                <w:sz w:val="18"/>
                <w:szCs w:val="18"/>
                <w:lang w:val="en-US"/>
              </w:rPr>
            </w:pPr>
            <w:r w:rsidRPr="00EA49D6">
              <w:rPr>
                <w:rFonts w:ascii="Times New Roman" w:eastAsia="Times New Roman" w:hAnsi="Times New Roman" w:cs="Times New Roman"/>
                <w:sz w:val="18"/>
                <w:szCs w:val="18"/>
                <w:lang w:val="en-US"/>
              </w:rPr>
              <w:t xml:space="preserve">The effects of this law </w:t>
            </w:r>
            <w:r w:rsidR="003675BD" w:rsidRPr="003675BD">
              <w:rPr>
                <w:rFonts w:ascii="Times New Roman" w:eastAsia="Times New Roman" w:hAnsi="Times New Roman" w:cs="Times New Roman"/>
                <w:sz w:val="18"/>
                <w:szCs w:val="18"/>
                <w:lang w:val="en-US"/>
              </w:rPr>
              <w:t>start from the date of accession of the Republic of Albania to the European Union</w:t>
            </w:r>
            <w:r w:rsidRPr="00EA49D6">
              <w:rPr>
                <w:rFonts w:ascii="Times New Roman" w:eastAsia="Times New Roman" w:hAnsi="Times New Roman" w:cs="Times New Roman"/>
                <w:sz w:val="18"/>
                <w:szCs w:val="18"/>
                <w:lang w:val="en-US"/>
              </w:rPr>
              <w:t>.</w:t>
            </w:r>
          </w:p>
          <w:p w14:paraId="11C31410" w14:textId="2C558C85" w:rsidR="00B46145" w:rsidRPr="00EA49D6" w:rsidRDefault="00B46145" w:rsidP="002D7485">
            <w:pPr>
              <w:rPr>
                <w:rFonts w:ascii="Times New Roman" w:hAnsi="Times New Roman" w:cs="Times New Roman"/>
                <w:sz w:val="18"/>
                <w:szCs w:val="18"/>
              </w:rPr>
            </w:pPr>
          </w:p>
        </w:tc>
        <w:tc>
          <w:tcPr>
            <w:tcW w:w="720" w:type="dxa"/>
          </w:tcPr>
          <w:p w14:paraId="03E55700" w14:textId="7EE47A76" w:rsidR="00B46145" w:rsidRPr="00EA49D6" w:rsidRDefault="00BA7D26"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F</w:t>
            </w:r>
          </w:p>
        </w:tc>
        <w:tc>
          <w:tcPr>
            <w:tcW w:w="3406" w:type="dxa"/>
          </w:tcPr>
          <w:p w14:paraId="10473C6C" w14:textId="7ED476B1" w:rsidR="00B46145" w:rsidRPr="00EA49D6" w:rsidRDefault="00B46145" w:rsidP="008036D5">
            <w:pPr>
              <w:rPr>
                <w:rFonts w:ascii="Times New Roman" w:eastAsia="Calibri" w:hAnsi="Times New Roman" w:cs="Times New Roman"/>
                <w:sz w:val="18"/>
                <w:szCs w:val="18"/>
              </w:rPr>
            </w:pPr>
          </w:p>
        </w:tc>
      </w:tr>
      <w:tr w:rsidR="00B46145" w:rsidRPr="00EA49D6" w14:paraId="380D92EC" w14:textId="77777777" w:rsidTr="003675BD">
        <w:trPr>
          <w:trHeight w:val="2204"/>
        </w:trPr>
        <w:tc>
          <w:tcPr>
            <w:tcW w:w="540" w:type="dxa"/>
          </w:tcPr>
          <w:p w14:paraId="758B545D" w14:textId="77777777" w:rsidR="00B46145" w:rsidRPr="00EA49D6" w:rsidRDefault="00B46145" w:rsidP="003C045B">
            <w:pPr>
              <w:jc w:val="both"/>
              <w:rPr>
                <w:rFonts w:ascii="Times New Roman" w:eastAsia="Calibri" w:hAnsi="Times New Roman" w:cs="Times New Roman"/>
                <w:sz w:val="18"/>
                <w:szCs w:val="18"/>
              </w:rPr>
            </w:pPr>
          </w:p>
        </w:tc>
        <w:tc>
          <w:tcPr>
            <w:tcW w:w="5400" w:type="dxa"/>
          </w:tcPr>
          <w:p w14:paraId="2733D3C2" w14:textId="77777777" w:rsidR="00B46145" w:rsidRPr="00EA49D6" w:rsidRDefault="00B46145" w:rsidP="00B46145">
            <w:pPr>
              <w:jc w:val="center"/>
              <w:rPr>
                <w:rFonts w:ascii="Times New Roman" w:eastAsia="Calibri" w:hAnsi="Times New Roman" w:cs="Times New Roman"/>
                <w:b/>
                <w:iCs/>
                <w:sz w:val="18"/>
                <w:szCs w:val="18"/>
              </w:rPr>
            </w:pPr>
            <w:r w:rsidRPr="00EA49D6">
              <w:rPr>
                <w:rFonts w:ascii="Times New Roman" w:eastAsia="Calibri" w:hAnsi="Times New Roman" w:cs="Times New Roman"/>
                <w:b/>
                <w:iCs/>
                <w:sz w:val="18"/>
                <w:szCs w:val="18"/>
              </w:rPr>
              <w:t>Article 4</w:t>
            </w:r>
          </w:p>
          <w:p w14:paraId="0A4F7AAB" w14:textId="77777777" w:rsidR="00B46145" w:rsidRPr="00EA49D6" w:rsidRDefault="00B46145" w:rsidP="00B46145">
            <w:pPr>
              <w:jc w:val="center"/>
              <w:rPr>
                <w:rFonts w:ascii="Times New Roman" w:eastAsia="Calibri" w:hAnsi="Times New Roman" w:cs="Times New Roman"/>
                <w:b/>
                <w:iCs/>
                <w:sz w:val="18"/>
                <w:szCs w:val="18"/>
              </w:rPr>
            </w:pPr>
          </w:p>
          <w:p w14:paraId="7D307B8D" w14:textId="2621A6A6" w:rsidR="00B46145" w:rsidRPr="00EA49D6" w:rsidRDefault="00B46145" w:rsidP="00B46145">
            <w:pPr>
              <w:jc w:val="both"/>
              <w:rPr>
                <w:rFonts w:ascii="Times New Roman" w:eastAsia="Calibri" w:hAnsi="Times New Roman" w:cs="Times New Roman"/>
                <w:iCs/>
                <w:sz w:val="18"/>
                <w:szCs w:val="18"/>
              </w:rPr>
            </w:pPr>
            <w:r w:rsidRPr="00EA49D6">
              <w:rPr>
                <w:rFonts w:ascii="Times New Roman" w:eastAsia="Calibri" w:hAnsi="Times New Roman" w:cs="Times New Roman"/>
                <w:iCs/>
                <w:sz w:val="18"/>
                <w:szCs w:val="18"/>
              </w:rPr>
              <w:t>This Directive is addressed to the Member States.</w:t>
            </w:r>
          </w:p>
        </w:tc>
        <w:tc>
          <w:tcPr>
            <w:tcW w:w="540" w:type="dxa"/>
          </w:tcPr>
          <w:p w14:paraId="4800D585" w14:textId="77777777" w:rsidR="00B46145" w:rsidRPr="00EA49D6" w:rsidRDefault="00B46145" w:rsidP="003C045B">
            <w:pPr>
              <w:jc w:val="center"/>
              <w:rPr>
                <w:rFonts w:ascii="Times New Roman" w:eastAsia="Calibri" w:hAnsi="Times New Roman" w:cs="Times New Roman"/>
                <w:sz w:val="18"/>
                <w:szCs w:val="18"/>
                <w:highlight w:val="cyan"/>
              </w:rPr>
            </w:pPr>
          </w:p>
        </w:tc>
        <w:tc>
          <w:tcPr>
            <w:tcW w:w="554" w:type="dxa"/>
          </w:tcPr>
          <w:p w14:paraId="630C2E8C" w14:textId="4516AABE" w:rsidR="00B46145" w:rsidRPr="00EA49D6" w:rsidRDefault="00075E79" w:rsidP="003C045B">
            <w:pPr>
              <w:jc w:val="center"/>
              <w:rPr>
                <w:rFonts w:ascii="Times New Roman" w:eastAsia="Calibri" w:hAnsi="Times New Roman" w:cs="Times New Roman"/>
                <w:sz w:val="18"/>
                <w:szCs w:val="18"/>
                <w:highlight w:val="cyan"/>
              </w:rPr>
            </w:pPr>
            <w:r w:rsidRPr="00EA49D6">
              <w:rPr>
                <w:rFonts w:ascii="Times New Roman" w:eastAsia="Calibri" w:hAnsi="Times New Roman" w:cs="Times New Roman"/>
                <w:sz w:val="18"/>
                <w:szCs w:val="18"/>
              </w:rPr>
              <w:t>N/A</w:t>
            </w:r>
          </w:p>
        </w:tc>
        <w:tc>
          <w:tcPr>
            <w:tcW w:w="5040" w:type="dxa"/>
          </w:tcPr>
          <w:p w14:paraId="6562ABE4" w14:textId="700CA43D" w:rsidR="00B46145" w:rsidRPr="00EA49D6" w:rsidRDefault="00075E79" w:rsidP="00654FB9">
            <w:pPr>
              <w:jc w:val="center"/>
              <w:rPr>
                <w:rFonts w:ascii="Times New Roman" w:hAnsi="Times New Roman" w:cs="Times New Roman"/>
                <w:sz w:val="18"/>
                <w:szCs w:val="18"/>
              </w:rPr>
            </w:pPr>
            <w:r w:rsidRPr="00EA49D6">
              <w:rPr>
                <w:rFonts w:ascii="Times New Roman" w:hAnsi="Times New Roman" w:cs="Times New Roman"/>
                <w:sz w:val="18"/>
                <w:szCs w:val="18"/>
              </w:rPr>
              <w:t>N/A</w:t>
            </w:r>
          </w:p>
        </w:tc>
        <w:tc>
          <w:tcPr>
            <w:tcW w:w="720" w:type="dxa"/>
          </w:tcPr>
          <w:p w14:paraId="15692D69" w14:textId="159E4E14" w:rsidR="00B46145" w:rsidRPr="00EA49D6" w:rsidRDefault="00075E79" w:rsidP="003C045B">
            <w:pPr>
              <w:jc w:val="center"/>
              <w:rPr>
                <w:rFonts w:ascii="Times New Roman" w:eastAsia="Calibri" w:hAnsi="Times New Roman" w:cs="Times New Roman"/>
                <w:sz w:val="18"/>
                <w:szCs w:val="18"/>
              </w:rPr>
            </w:pPr>
            <w:r w:rsidRPr="00EA49D6">
              <w:rPr>
                <w:rFonts w:ascii="Times New Roman" w:eastAsia="Calibri" w:hAnsi="Times New Roman" w:cs="Times New Roman"/>
                <w:sz w:val="18"/>
                <w:szCs w:val="18"/>
              </w:rPr>
              <w:t>N/A</w:t>
            </w:r>
          </w:p>
        </w:tc>
        <w:tc>
          <w:tcPr>
            <w:tcW w:w="3406" w:type="dxa"/>
          </w:tcPr>
          <w:p w14:paraId="7EFFD7FA" w14:textId="2E3BE709" w:rsidR="00B46145" w:rsidRPr="00EA49D6" w:rsidRDefault="00075E79" w:rsidP="008036D5">
            <w:pPr>
              <w:rPr>
                <w:rFonts w:ascii="Times New Roman" w:eastAsia="Calibri" w:hAnsi="Times New Roman" w:cs="Times New Roman"/>
                <w:sz w:val="18"/>
                <w:szCs w:val="18"/>
              </w:rPr>
            </w:pPr>
            <w:r w:rsidRPr="00EA49D6">
              <w:rPr>
                <w:rFonts w:ascii="Times New Roman" w:eastAsia="Calibri" w:hAnsi="Times New Roman" w:cs="Times New Roman"/>
                <w:sz w:val="18"/>
                <w:szCs w:val="18"/>
              </w:rPr>
              <w:t>It does not require transposition, it is a binding provision addressed to the member states.</w:t>
            </w:r>
          </w:p>
        </w:tc>
      </w:tr>
    </w:tbl>
    <w:p w14:paraId="4E2D4073" w14:textId="77777777" w:rsidR="009A20F7" w:rsidRPr="00F83FEC" w:rsidRDefault="009A20F7" w:rsidP="00E172D2">
      <w:pPr>
        <w:spacing w:line="240" w:lineRule="auto"/>
        <w:rPr>
          <w:rFonts w:ascii="Times New Roman" w:hAnsi="Times New Roman" w:cs="Times New Roman"/>
          <w:sz w:val="18"/>
          <w:szCs w:val="18"/>
        </w:rPr>
      </w:pPr>
    </w:p>
    <w:sectPr w:rsidR="009A20F7" w:rsidRPr="00F83FEC" w:rsidSect="003F6C69">
      <w:footerReference w:type="default" r:id="rId11"/>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BD2C" w14:textId="77777777" w:rsidR="00766790" w:rsidRDefault="00766790" w:rsidP="00922FEB">
      <w:pPr>
        <w:spacing w:after="0" w:line="240" w:lineRule="auto"/>
      </w:pPr>
      <w:r>
        <w:separator/>
      </w:r>
    </w:p>
  </w:endnote>
  <w:endnote w:type="continuationSeparator" w:id="0">
    <w:p w14:paraId="27C730F5" w14:textId="77777777" w:rsidR="00766790" w:rsidRDefault="00766790"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57254813" w:rsidR="00765071" w:rsidRDefault="00765071">
    <w:pPr>
      <w:pStyle w:val="Footer"/>
    </w:pPr>
    <w:r>
      <w:fldChar w:fldCharType="begin"/>
    </w:r>
    <w:r>
      <w:instrText>PAGE   \* MERGEFORMAT</w:instrText>
    </w:r>
    <w:r>
      <w:fldChar w:fldCharType="separate"/>
    </w:r>
    <w:r w:rsidR="002B44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6D27" w14:textId="77777777" w:rsidR="00766790" w:rsidRDefault="00766790" w:rsidP="00922FEB">
      <w:pPr>
        <w:spacing w:after="0" w:line="240" w:lineRule="auto"/>
      </w:pPr>
      <w:r>
        <w:separator/>
      </w:r>
    </w:p>
  </w:footnote>
  <w:footnote w:type="continuationSeparator" w:id="0">
    <w:p w14:paraId="7DCB225E" w14:textId="77777777" w:rsidR="00766790" w:rsidRDefault="00766790"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5DE"/>
    <w:multiLevelType w:val="multilevel"/>
    <w:tmpl w:val="20547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E53AE"/>
    <w:multiLevelType w:val="hybridMultilevel"/>
    <w:tmpl w:val="CDC8FEA6"/>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07770C"/>
    <w:multiLevelType w:val="multilevel"/>
    <w:tmpl w:val="976A2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D6851"/>
    <w:multiLevelType w:val="hybridMultilevel"/>
    <w:tmpl w:val="4A309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C47AD"/>
    <w:multiLevelType w:val="multilevel"/>
    <w:tmpl w:val="6A56F9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CC68FA"/>
    <w:multiLevelType w:val="hybridMultilevel"/>
    <w:tmpl w:val="2858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AEB"/>
    <w:multiLevelType w:val="multilevel"/>
    <w:tmpl w:val="6A56F9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B4341"/>
    <w:multiLevelType w:val="multilevel"/>
    <w:tmpl w:val="AA8EB7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627B8"/>
    <w:multiLevelType w:val="multilevel"/>
    <w:tmpl w:val="E0D25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C4DF1"/>
    <w:multiLevelType w:val="hybridMultilevel"/>
    <w:tmpl w:val="2148252C"/>
    <w:lvl w:ilvl="0" w:tplc="9A72A0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37726"/>
    <w:multiLevelType w:val="hybridMultilevel"/>
    <w:tmpl w:val="BB7C3B9A"/>
    <w:lvl w:ilvl="0" w:tplc="1048F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25426"/>
    <w:multiLevelType w:val="hybridMultilevel"/>
    <w:tmpl w:val="1D84C0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640018"/>
    <w:multiLevelType w:val="hybridMultilevel"/>
    <w:tmpl w:val="98D484F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329A00D1"/>
    <w:multiLevelType w:val="multilevel"/>
    <w:tmpl w:val="ED8A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6080A"/>
    <w:multiLevelType w:val="multilevel"/>
    <w:tmpl w:val="3CAE58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F3A60B4"/>
    <w:multiLevelType w:val="hybridMultilevel"/>
    <w:tmpl w:val="1A40880C"/>
    <w:lvl w:ilvl="0" w:tplc="858A5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DF13A7"/>
    <w:multiLevelType w:val="hybridMultilevel"/>
    <w:tmpl w:val="CC60094E"/>
    <w:lvl w:ilvl="0" w:tplc="E836E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00874"/>
    <w:multiLevelType w:val="multilevel"/>
    <w:tmpl w:val="E20684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ADD4944"/>
    <w:multiLevelType w:val="multilevel"/>
    <w:tmpl w:val="44CA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F652D6"/>
    <w:multiLevelType w:val="hybridMultilevel"/>
    <w:tmpl w:val="E7C86058"/>
    <w:lvl w:ilvl="0" w:tplc="5AF83B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156A6A"/>
    <w:multiLevelType w:val="multilevel"/>
    <w:tmpl w:val="3FC02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3A0C3C"/>
    <w:multiLevelType w:val="hybridMultilevel"/>
    <w:tmpl w:val="BDA02102"/>
    <w:lvl w:ilvl="0" w:tplc="7986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737BA"/>
    <w:multiLevelType w:val="hybridMultilevel"/>
    <w:tmpl w:val="99921C8C"/>
    <w:lvl w:ilvl="0" w:tplc="4BA09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954E9B"/>
    <w:multiLevelType w:val="multilevel"/>
    <w:tmpl w:val="AE9E7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6C04AA1"/>
    <w:multiLevelType w:val="hybridMultilevel"/>
    <w:tmpl w:val="E998FFBA"/>
    <w:lvl w:ilvl="0" w:tplc="F0AE0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7E5137"/>
    <w:multiLevelType w:val="multilevel"/>
    <w:tmpl w:val="F202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11227F"/>
    <w:multiLevelType w:val="hybridMultilevel"/>
    <w:tmpl w:val="ABE04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EA940E1"/>
    <w:multiLevelType w:val="hybridMultilevel"/>
    <w:tmpl w:val="CD061C0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F632B0E"/>
    <w:multiLevelType w:val="hybridMultilevel"/>
    <w:tmpl w:val="E6C01AB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61C34921"/>
    <w:multiLevelType w:val="multilevel"/>
    <w:tmpl w:val="72A82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B660CB"/>
    <w:multiLevelType w:val="multilevel"/>
    <w:tmpl w:val="2F02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A04D4F"/>
    <w:multiLevelType w:val="multilevel"/>
    <w:tmpl w:val="448E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6C3C4E"/>
    <w:multiLevelType w:val="multilevel"/>
    <w:tmpl w:val="59F8ED8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90A7DE3"/>
    <w:multiLevelType w:val="hybridMultilevel"/>
    <w:tmpl w:val="C51A249A"/>
    <w:lvl w:ilvl="0" w:tplc="9D8C93A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566C7"/>
    <w:multiLevelType w:val="hybridMultilevel"/>
    <w:tmpl w:val="59A0D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E1F7F"/>
    <w:multiLevelType w:val="hybridMultilevel"/>
    <w:tmpl w:val="57C827EE"/>
    <w:lvl w:ilvl="0" w:tplc="5A222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53238"/>
    <w:multiLevelType w:val="multilevel"/>
    <w:tmpl w:val="75C8E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9C2E4F"/>
    <w:multiLevelType w:val="hybridMultilevel"/>
    <w:tmpl w:val="73FE4EF4"/>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70610B7D"/>
    <w:multiLevelType w:val="hybridMultilevel"/>
    <w:tmpl w:val="F676D7CC"/>
    <w:lvl w:ilvl="0" w:tplc="C7DCC9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106A4"/>
    <w:multiLevelType w:val="multilevel"/>
    <w:tmpl w:val="DE76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AF0D54"/>
    <w:multiLevelType w:val="multilevel"/>
    <w:tmpl w:val="DF0A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F14B0E"/>
    <w:multiLevelType w:val="hybridMultilevel"/>
    <w:tmpl w:val="210A091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771D6A2C"/>
    <w:multiLevelType w:val="multilevel"/>
    <w:tmpl w:val="CEA04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8A76F66"/>
    <w:multiLevelType w:val="multilevel"/>
    <w:tmpl w:val="FC0ABB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F91119"/>
    <w:multiLevelType w:val="multilevel"/>
    <w:tmpl w:val="22347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2053F3"/>
    <w:multiLevelType w:val="multilevel"/>
    <w:tmpl w:val="B490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FD5997"/>
    <w:multiLevelType w:val="hybridMultilevel"/>
    <w:tmpl w:val="5A2267F2"/>
    <w:lvl w:ilvl="0" w:tplc="250816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359534">
    <w:abstractNumId w:val="34"/>
  </w:num>
  <w:num w:numId="2" w16cid:durableId="2118479259">
    <w:abstractNumId w:val="3"/>
  </w:num>
  <w:num w:numId="3" w16cid:durableId="1723018231">
    <w:abstractNumId w:val="33"/>
  </w:num>
  <w:num w:numId="4" w16cid:durableId="1588072683">
    <w:abstractNumId w:val="6"/>
  </w:num>
  <w:num w:numId="5" w16cid:durableId="1215853170">
    <w:abstractNumId w:val="28"/>
  </w:num>
  <w:num w:numId="6" w16cid:durableId="1624967154">
    <w:abstractNumId w:val="14"/>
  </w:num>
  <w:num w:numId="7" w16cid:durableId="1516580427">
    <w:abstractNumId w:val="18"/>
  </w:num>
  <w:num w:numId="8" w16cid:durableId="515267213">
    <w:abstractNumId w:val="39"/>
  </w:num>
  <w:num w:numId="9" w16cid:durableId="1369991640">
    <w:abstractNumId w:val="12"/>
  </w:num>
  <w:num w:numId="10" w16cid:durableId="1878201459">
    <w:abstractNumId w:val="36"/>
  </w:num>
  <w:num w:numId="11" w16cid:durableId="398940706">
    <w:abstractNumId w:val="32"/>
  </w:num>
  <w:num w:numId="12" w16cid:durableId="565334271">
    <w:abstractNumId w:val="4"/>
  </w:num>
  <w:num w:numId="13" w16cid:durableId="416098404">
    <w:abstractNumId w:val="31"/>
  </w:num>
  <w:num w:numId="14" w16cid:durableId="1119059849">
    <w:abstractNumId w:val="20"/>
  </w:num>
  <w:num w:numId="15" w16cid:durableId="1894194254">
    <w:abstractNumId w:val="42"/>
  </w:num>
  <w:num w:numId="16" w16cid:durableId="2035108609">
    <w:abstractNumId w:val="5"/>
  </w:num>
  <w:num w:numId="17" w16cid:durableId="995956349">
    <w:abstractNumId w:val="23"/>
  </w:num>
  <w:num w:numId="18" w16cid:durableId="13840216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3027137">
    <w:abstractNumId w:val="37"/>
  </w:num>
  <w:num w:numId="20" w16cid:durableId="18431632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388379">
    <w:abstractNumId w:val="40"/>
  </w:num>
  <w:num w:numId="22" w16cid:durableId="1333950964">
    <w:abstractNumId w:val="1"/>
  </w:num>
  <w:num w:numId="23" w16cid:durableId="1305889955">
    <w:abstractNumId w:val="44"/>
  </w:num>
  <w:num w:numId="24" w16cid:durableId="768156608">
    <w:abstractNumId w:val="25"/>
  </w:num>
  <w:num w:numId="25" w16cid:durableId="661586303">
    <w:abstractNumId w:val="0"/>
  </w:num>
  <w:num w:numId="26" w16cid:durableId="170921882">
    <w:abstractNumId w:val="7"/>
  </w:num>
  <w:num w:numId="27" w16cid:durableId="1570114621">
    <w:abstractNumId w:val="8"/>
  </w:num>
  <w:num w:numId="28" w16cid:durableId="1524057082">
    <w:abstractNumId w:val="43"/>
  </w:num>
  <w:num w:numId="29" w16cid:durableId="1492021405">
    <w:abstractNumId w:val="21"/>
  </w:num>
  <w:num w:numId="30" w16cid:durableId="1574781526">
    <w:abstractNumId w:val="27"/>
  </w:num>
  <w:num w:numId="31" w16cid:durableId="418406211">
    <w:abstractNumId w:val="2"/>
  </w:num>
  <w:num w:numId="32" w16cid:durableId="1471748728">
    <w:abstractNumId w:val="45"/>
  </w:num>
  <w:num w:numId="33" w16cid:durableId="785735153">
    <w:abstractNumId w:val="15"/>
  </w:num>
  <w:num w:numId="34" w16cid:durableId="68116917">
    <w:abstractNumId w:val="35"/>
  </w:num>
  <w:num w:numId="35" w16cid:durableId="1513108575">
    <w:abstractNumId w:val="16"/>
  </w:num>
  <w:num w:numId="36" w16cid:durableId="480003090">
    <w:abstractNumId w:val="10"/>
  </w:num>
  <w:num w:numId="37" w16cid:durableId="1280183246">
    <w:abstractNumId w:val="9"/>
  </w:num>
  <w:num w:numId="38" w16cid:durableId="317540184">
    <w:abstractNumId w:val="38"/>
  </w:num>
  <w:num w:numId="39" w16cid:durableId="684868261">
    <w:abstractNumId w:val="22"/>
  </w:num>
  <w:num w:numId="40" w16cid:durableId="672143751">
    <w:abstractNumId w:val="19"/>
  </w:num>
  <w:num w:numId="41" w16cid:durableId="2346324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1180627">
    <w:abstractNumId w:val="24"/>
  </w:num>
  <w:num w:numId="43" w16cid:durableId="1797721433">
    <w:abstractNumId w:val="30"/>
  </w:num>
  <w:num w:numId="44" w16cid:durableId="1725640680">
    <w:abstractNumId w:val="29"/>
  </w:num>
  <w:num w:numId="45" w16cid:durableId="911890385">
    <w:abstractNumId w:val="13"/>
  </w:num>
  <w:num w:numId="46" w16cid:durableId="1563908984">
    <w:abstractNumId w:val="46"/>
  </w:num>
  <w:num w:numId="47" w16cid:durableId="121045274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0140B"/>
    <w:rsid w:val="000144FB"/>
    <w:rsid w:val="00015086"/>
    <w:rsid w:val="00016C4D"/>
    <w:rsid w:val="00017CC1"/>
    <w:rsid w:val="00020AE3"/>
    <w:rsid w:val="00026CC0"/>
    <w:rsid w:val="000339C8"/>
    <w:rsid w:val="00034129"/>
    <w:rsid w:val="00036F88"/>
    <w:rsid w:val="00045495"/>
    <w:rsid w:val="00052607"/>
    <w:rsid w:val="00052664"/>
    <w:rsid w:val="00053923"/>
    <w:rsid w:val="00061FFB"/>
    <w:rsid w:val="00062524"/>
    <w:rsid w:val="00065705"/>
    <w:rsid w:val="00075318"/>
    <w:rsid w:val="00075E79"/>
    <w:rsid w:val="00076B31"/>
    <w:rsid w:val="00077A9A"/>
    <w:rsid w:val="00080E02"/>
    <w:rsid w:val="00081BC1"/>
    <w:rsid w:val="00082EBC"/>
    <w:rsid w:val="000916B6"/>
    <w:rsid w:val="00092CAE"/>
    <w:rsid w:val="00093110"/>
    <w:rsid w:val="00095ECC"/>
    <w:rsid w:val="000A1939"/>
    <w:rsid w:val="000A26EF"/>
    <w:rsid w:val="000A38FB"/>
    <w:rsid w:val="000A7EA3"/>
    <w:rsid w:val="000B014A"/>
    <w:rsid w:val="000B05B4"/>
    <w:rsid w:val="000B1124"/>
    <w:rsid w:val="000B162F"/>
    <w:rsid w:val="000B190A"/>
    <w:rsid w:val="000B19FC"/>
    <w:rsid w:val="000B4CF9"/>
    <w:rsid w:val="000B5E85"/>
    <w:rsid w:val="000C09CF"/>
    <w:rsid w:val="000C227B"/>
    <w:rsid w:val="000C4C00"/>
    <w:rsid w:val="000D0E76"/>
    <w:rsid w:val="000D4CD0"/>
    <w:rsid w:val="000D6E38"/>
    <w:rsid w:val="000D77FB"/>
    <w:rsid w:val="000D7CA4"/>
    <w:rsid w:val="000D7DCD"/>
    <w:rsid w:val="000E0147"/>
    <w:rsid w:val="000E09F3"/>
    <w:rsid w:val="000E1010"/>
    <w:rsid w:val="000E2BC3"/>
    <w:rsid w:val="000E4DE0"/>
    <w:rsid w:val="000E5AC4"/>
    <w:rsid w:val="000E668E"/>
    <w:rsid w:val="000F11F8"/>
    <w:rsid w:val="001024E6"/>
    <w:rsid w:val="00103497"/>
    <w:rsid w:val="00106912"/>
    <w:rsid w:val="0010722F"/>
    <w:rsid w:val="0010735E"/>
    <w:rsid w:val="001123ED"/>
    <w:rsid w:val="001207DE"/>
    <w:rsid w:val="00121010"/>
    <w:rsid w:val="00125EE3"/>
    <w:rsid w:val="00140D96"/>
    <w:rsid w:val="00142D18"/>
    <w:rsid w:val="00142D73"/>
    <w:rsid w:val="00147A54"/>
    <w:rsid w:val="001520C0"/>
    <w:rsid w:val="0015399E"/>
    <w:rsid w:val="00153CCC"/>
    <w:rsid w:val="00154981"/>
    <w:rsid w:val="001552C4"/>
    <w:rsid w:val="0015599D"/>
    <w:rsid w:val="00160121"/>
    <w:rsid w:val="001619E7"/>
    <w:rsid w:val="00162D73"/>
    <w:rsid w:val="00164173"/>
    <w:rsid w:val="00170836"/>
    <w:rsid w:val="00171AE3"/>
    <w:rsid w:val="00175F53"/>
    <w:rsid w:val="001775D3"/>
    <w:rsid w:val="00185FF3"/>
    <w:rsid w:val="00190654"/>
    <w:rsid w:val="00191477"/>
    <w:rsid w:val="0019465F"/>
    <w:rsid w:val="001A054E"/>
    <w:rsid w:val="001A1CC0"/>
    <w:rsid w:val="001A223E"/>
    <w:rsid w:val="001A240D"/>
    <w:rsid w:val="001B46A8"/>
    <w:rsid w:val="001B4AFB"/>
    <w:rsid w:val="001B4F3F"/>
    <w:rsid w:val="001C2405"/>
    <w:rsid w:val="001C7741"/>
    <w:rsid w:val="001D180F"/>
    <w:rsid w:val="001D413A"/>
    <w:rsid w:val="001D652C"/>
    <w:rsid w:val="001D75F8"/>
    <w:rsid w:val="001E074F"/>
    <w:rsid w:val="001E2141"/>
    <w:rsid w:val="001E566F"/>
    <w:rsid w:val="001E71E0"/>
    <w:rsid w:val="001F0349"/>
    <w:rsid w:val="001F2CB3"/>
    <w:rsid w:val="001F3413"/>
    <w:rsid w:val="001F3E2D"/>
    <w:rsid w:val="001F6E50"/>
    <w:rsid w:val="001F7BBC"/>
    <w:rsid w:val="00200996"/>
    <w:rsid w:val="00200AA9"/>
    <w:rsid w:val="00206694"/>
    <w:rsid w:val="00207E2E"/>
    <w:rsid w:val="00212234"/>
    <w:rsid w:val="00216CB5"/>
    <w:rsid w:val="00217FFD"/>
    <w:rsid w:val="002234E1"/>
    <w:rsid w:val="00226B07"/>
    <w:rsid w:val="002351EE"/>
    <w:rsid w:val="00236C1E"/>
    <w:rsid w:val="00237085"/>
    <w:rsid w:val="00241058"/>
    <w:rsid w:val="00241DAE"/>
    <w:rsid w:val="00242D3A"/>
    <w:rsid w:val="00243A1A"/>
    <w:rsid w:val="0024728F"/>
    <w:rsid w:val="00247573"/>
    <w:rsid w:val="00250974"/>
    <w:rsid w:val="00250B34"/>
    <w:rsid w:val="002511E0"/>
    <w:rsid w:val="00256570"/>
    <w:rsid w:val="00260632"/>
    <w:rsid w:val="00261EE3"/>
    <w:rsid w:val="00262E99"/>
    <w:rsid w:val="002652D5"/>
    <w:rsid w:val="00265C53"/>
    <w:rsid w:val="00266B43"/>
    <w:rsid w:val="002675D8"/>
    <w:rsid w:val="00271F5B"/>
    <w:rsid w:val="00273323"/>
    <w:rsid w:val="0027774B"/>
    <w:rsid w:val="002826E4"/>
    <w:rsid w:val="00282FA2"/>
    <w:rsid w:val="00287B86"/>
    <w:rsid w:val="0029047B"/>
    <w:rsid w:val="002921C0"/>
    <w:rsid w:val="002973DE"/>
    <w:rsid w:val="002A2DF8"/>
    <w:rsid w:val="002A59EF"/>
    <w:rsid w:val="002B02E4"/>
    <w:rsid w:val="002B3D21"/>
    <w:rsid w:val="002B44A1"/>
    <w:rsid w:val="002B44DE"/>
    <w:rsid w:val="002B731D"/>
    <w:rsid w:val="002C1FF8"/>
    <w:rsid w:val="002C6E4F"/>
    <w:rsid w:val="002C733F"/>
    <w:rsid w:val="002C7F03"/>
    <w:rsid w:val="002D0742"/>
    <w:rsid w:val="002D2221"/>
    <w:rsid w:val="002D529D"/>
    <w:rsid w:val="002D574D"/>
    <w:rsid w:val="002D7485"/>
    <w:rsid w:val="002E6526"/>
    <w:rsid w:val="002F76DE"/>
    <w:rsid w:val="00301958"/>
    <w:rsid w:val="0030526E"/>
    <w:rsid w:val="00310B3D"/>
    <w:rsid w:val="0031114B"/>
    <w:rsid w:val="003116B5"/>
    <w:rsid w:val="0031566F"/>
    <w:rsid w:val="00317005"/>
    <w:rsid w:val="00322C4F"/>
    <w:rsid w:val="00332366"/>
    <w:rsid w:val="00333884"/>
    <w:rsid w:val="00335C48"/>
    <w:rsid w:val="00344587"/>
    <w:rsid w:val="00345085"/>
    <w:rsid w:val="0035145A"/>
    <w:rsid w:val="003518E4"/>
    <w:rsid w:val="003541B4"/>
    <w:rsid w:val="00357D61"/>
    <w:rsid w:val="00361C42"/>
    <w:rsid w:val="00364559"/>
    <w:rsid w:val="003675BD"/>
    <w:rsid w:val="0037327C"/>
    <w:rsid w:val="00374572"/>
    <w:rsid w:val="00381019"/>
    <w:rsid w:val="00391383"/>
    <w:rsid w:val="00395E2E"/>
    <w:rsid w:val="003A75B8"/>
    <w:rsid w:val="003B191B"/>
    <w:rsid w:val="003B1CE7"/>
    <w:rsid w:val="003B7C4A"/>
    <w:rsid w:val="003C045B"/>
    <w:rsid w:val="003C1E87"/>
    <w:rsid w:val="003C2EAB"/>
    <w:rsid w:val="003C4AC6"/>
    <w:rsid w:val="003C63BE"/>
    <w:rsid w:val="003C79E1"/>
    <w:rsid w:val="003D4694"/>
    <w:rsid w:val="003D4F83"/>
    <w:rsid w:val="003E2711"/>
    <w:rsid w:val="003F08B9"/>
    <w:rsid w:val="003F12A2"/>
    <w:rsid w:val="003F6A79"/>
    <w:rsid w:val="003F6C69"/>
    <w:rsid w:val="00400267"/>
    <w:rsid w:val="004003B3"/>
    <w:rsid w:val="00400C6E"/>
    <w:rsid w:val="004020E6"/>
    <w:rsid w:val="0040246D"/>
    <w:rsid w:val="004024D0"/>
    <w:rsid w:val="00405A74"/>
    <w:rsid w:val="00410A88"/>
    <w:rsid w:val="00415BDC"/>
    <w:rsid w:val="004164B2"/>
    <w:rsid w:val="00416E2E"/>
    <w:rsid w:val="004224EA"/>
    <w:rsid w:val="00424D4A"/>
    <w:rsid w:val="0042577F"/>
    <w:rsid w:val="00427624"/>
    <w:rsid w:val="00427E4C"/>
    <w:rsid w:val="00427EE2"/>
    <w:rsid w:val="0043228D"/>
    <w:rsid w:val="00433DB0"/>
    <w:rsid w:val="004457A1"/>
    <w:rsid w:val="00450C23"/>
    <w:rsid w:val="00451218"/>
    <w:rsid w:val="00451313"/>
    <w:rsid w:val="004570E7"/>
    <w:rsid w:val="00462F38"/>
    <w:rsid w:val="00463860"/>
    <w:rsid w:val="00463D26"/>
    <w:rsid w:val="0047211B"/>
    <w:rsid w:val="00472C5C"/>
    <w:rsid w:val="004738EE"/>
    <w:rsid w:val="004745E6"/>
    <w:rsid w:val="00476A5C"/>
    <w:rsid w:val="004812F5"/>
    <w:rsid w:val="004816E5"/>
    <w:rsid w:val="004833A3"/>
    <w:rsid w:val="004857FB"/>
    <w:rsid w:val="00485EAE"/>
    <w:rsid w:val="00497724"/>
    <w:rsid w:val="004A1713"/>
    <w:rsid w:val="004A3603"/>
    <w:rsid w:val="004A36CD"/>
    <w:rsid w:val="004A4B29"/>
    <w:rsid w:val="004B7E97"/>
    <w:rsid w:val="004B7F04"/>
    <w:rsid w:val="004C2EE7"/>
    <w:rsid w:val="004D0576"/>
    <w:rsid w:val="004D36D7"/>
    <w:rsid w:val="004D3792"/>
    <w:rsid w:val="004D4A5A"/>
    <w:rsid w:val="004E0D2B"/>
    <w:rsid w:val="004E2956"/>
    <w:rsid w:val="004E30E5"/>
    <w:rsid w:val="004E4138"/>
    <w:rsid w:val="004F0084"/>
    <w:rsid w:val="004F0109"/>
    <w:rsid w:val="004F2266"/>
    <w:rsid w:val="004F27D1"/>
    <w:rsid w:val="004F5B78"/>
    <w:rsid w:val="004F619A"/>
    <w:rsid w:val="004F637B"/>
    <w:rsid w:val="004F7895"/>
    <w:rsid w:val="005002A2"/>
    <w:rsid w:val="005007CA"/>
    <w:rsid w:val="0050266C"/>
    <w:rsid w:val="00502F25"/>
    <w:rsid w:val="0050578D"/>
    <w:rsid w:val="00510FD6"/>
    <w:rsid w:val="005222ED"/>
    <w:rsid w:val="00523BD5"/>
    <w:rsid w:val="00532F36"/>
    <w:rsid w:val="00534507"/>
    <w:rsid w:val="00536BD1"/>
    <w:rsid w:val="00536F48"/>
    <w:rsid w:val="005373C7"/>
    <w:rsid w:val="00542046"/>
    <w:rsid w:val="00542B90"/>
    <w:rsid w:val="00544726"/>
    <w:rsid w:val="00545293"/>
    <w:rsid w:val="0054653E"/>
    <w:rsid w:val="00555B0E"/>
    <w:rsid w:val="00561970"/>
    <w:rsid w:val="00562EF5"/>
    <w:rsid w:val="0056390B"/>
    <w:rsid w:val="005721F0"/>
    <w:rsid w:val="005739CF"/>
    <w:rsid w:val="005740C8"/>
    <w:rsid w:val="0058092D"/>
    <w:rsid w:val="00581189"/>
    <w:rsid w:val="005828C1"/>
    <w:rsid w:val="00585506"/>
    <w:rsid w:val="00591261"/>
    <w:rsid w:val="00591577"/>
    <w:rsid w:val="0059538D"/>
    <w:rsid w:val="005A3A0B"/>
    <w:rsid w:val="005A7288"/>
    <w:rsid w:val="005B425E"/>
    <w:rsid w:val="005B76CF"/>
    <w:rsid w:val="005C2C12"/>
    <w:rsid w:val="005C5778"/>
    <w:rsid w:val="005D1762"/>
    <w:rsid w:val="005D2CA7"/>
    <w:rsid w:val="005D6115"/>
    <w:rsid w:val="005D7747"/>
    <w:rsid w:val="005E10BC"/>
    <w:rsid w:val="005E5DCC"/>
    <w:rsid w:val="005E65A8"/>
    <w:rsid w:val="005E6AA8"/>
    <w:rsid w:val="005F1B9C"/>
    <w:rsid w:val="005F434C"/>
    <w:rsid w:val="005F57EB"/>
    <w:rsid w:val="0060204E"/>
    <w:rsid w:val="0061684B"/>
    <w:rsid w:val="00617362"/>
    <w:rsid w:val="00623590"/>
    <w:rsid w:val="00627580"/>
    <w:rsid w:val="0063030D"/>
    <w:rsid w:val="006310DD"/>
    <w:rsid w:val="00632923"/>
    <w:rsid w:val="00635147"/>
    <w:rsid w:val="0064231D"/>
    <w:rsid w:val="006444CD"/>
    <w:rsid w:val="00651851"/>
    <w:rsid w:val="00652E31"/>
    <w:rsid w:val="00654FB9"/>
    <w:rsid w:val="006566CD"/>
    <w:rsid w:val="00657867"/>
    <w:rsid w:val="0066027E"/>
    <w:rsid w:val="006618BF"/>
    <w:rsid w:val="0066667D"/>
    <w:rsid w:val="00666B47"/>
    <w:rsid w:val="0067247A"/>
    <w:rsid w:val="006726C3"/>
    <w:rsid w:val="00672C4E"/>
    <w:rsid w:val="00676111"/>
    <w:rsid w:val="0067730A"/>
    <w:rsid w:val="006774B8"/>
    <w:rsid w:val="0068227A"/>
    <w:rsid w:val="00695317"/>
    <w:rsid w:val="006953D8"/>
    <w:rsid w:val="006A09C7"/>
    <w:rsid w:val="006A2D4D"/>
    <w:rsid w:val="006B0D0A"/>
    <w:rsid w:val="006B323C"/>
    <w:rsid w:val="006B7ABD"/>
    <w:rsid w:val="006C1477"/>
    <w:rsid w:val="006C1526"/>
    <w:rsid w:val="006C1BCA"/>
    <w:rsid w:val="006C4222"/>
    <w:rsid w:val="006C7B60"/>
    <w:rsid w:val="006D6109"/>
    <w:rsid w:val="006D648E"/>
    <w:rsid w:val="006E3A8B"/>
    <w:rsid w:val="006E7F7A"/>
    <w:rsid w:val="006E7FA1"/>
    <w:rsid w:val="006F2527"/>
    <w:rsid w:val="006F2F12"/>
    <w:rsid w:val="007006CF"/>
    <w:rsid w:val="00700F75"/>
    <w:rsid w:val="00703F01"/>
    <w:rsid w:val="007045CF"/>
    <w:rsid w:val="00705280"/>
    <w:rsid w:val="00706107"/>
    <w:rsid w:val="0071079D"/>
    <w:rsid w:val="00710999"/>
    <w:rsid w:val="00714B51"/>
    <w:rsid w:val="007155A5"/>
    <w:rsid w:val="00717DF3"/>
    <w:rsid w:val="00720B64"/>
    <w:rsid w:val="0072295D"/>
    <w:rsid w:val="00723BB2"/>
    <w:rsid w:val="00724305"/>
    <w:rsid w:val="007251FA"/>
    <w:rsid w:val="007277B4"/>
    <w:rsid w:val="00732339"/>
    <w:rsid w:val="00736441"/>
    <w:rsid w:val="00745147"/>
    <w:rsid w:val="007462E6"/>
    <w:rsid w:val="00746656"/>
    <w:rsid w:val="00746C07"/>
    <w:rsid w:val="00746F5E"/>
    <w:rsid w:val="007556BD"/>
    <w:rsid w:val="00757BFC"/>
    <w:rsid w:val="00760919"/>
    <w:rsid w:val="00760A37"/>
    <w:rsid w:val="00765071"/>
    <w:rsid w:val="0076650E"/>
    <w:rsid w:val="00766567"/>
    <w:rsid w:val="00766790"/>
    <w:rsid w:val="007668CC"/>
    <w:rsid w:val="00766BAF"/>
    <w:rsid w:val="0076782F"/>
    <w:rsid w:val="007731D9"/>
    <w:rsid w:val="007743FD"/>
    <w:rsid w:val="00775A2D"/>
    <w:rsid w:val="0077636B"/>
    <w:rsid w:val="00780F53"/>
    <w:rsid w:val="00794E58"/>
    <w:rsid w:val="007A1CE1"/>
    <w:rsid w:val="007A24BB"/>
    <w:rsid w:val="007A64BB"/>
    <w:rsid w:val="007B00C7"/>
    <w:rsid w:val="007B312A"/>
    <w:rsid w:val="007C025E"/>
    <w:rsid w:val="007C217F"/>
    <w:rsid w:val="007C23D6"/>
    <w:rsid w:val="007C3F0C"/>
    <w:rsid w:val="007C5223"/>
    <w:rsid w:val="007D6215"/>
    <w:rsid w:val="007D6CB1"/>
    <w:rsid w:val="007E1084"/>
    <w:rsid w:val="007E346B"/>
    <w:rsid w:val="007E431F"/>
    <w:rsid w:val="007E488D"/>
    <w:rsid w:val="007F0768"/>
    <w:rsid w:val="007F323E"/>
    <w:rsid w:val="007F3CF1"/>
    <w:rsid w:val="007F5D33"/>
    <w:rsid w:val="008018C3"/>
    <w:rsid w:val="008036D5"/>
    <w:rsid w:val="0080541B"/>
    <w:rsid w:val="00830C7D"/>
    <w:rsid w:val="00835CD6"/>
    <w:rsid w:val="008363D3"/>
    <w:rsid w:val="00840BC8"/>
    <w:rsid w:val="0084519E"/>
    <w:rsid w:val="0085013E"/>
    <w:rsid w:val="00854007"/>
    <w:rsid w:val="0085501A"/>
    <w:rsid w:val="00857138"/>
    <w:rsid w:val="00861003"/>
    <w:rsid w:val="00865C4F"/>
    <w:rsid w:val="008723DD"/>
    <w:rsid w:val="00873538"/>
    <w:rsid w:val="00873B84"/>
    <w:rsid w:val="00874BD7"/>
    <w:rsid w:val="00876F48"/>
    <w:rsid w:val="00877039"/>
    <w:rsid w:val="00880C14"/>
    <w:rsid w:val="008829C8"/>
    <w:rsid w:val="00883E0C"/>
    <w:rsid w:val="00886049"/>
    <w:rsid w:val="00886459"/>
    <w:rsid w:val="0088678D"/>
    <w:rsid w:val="008876A4"/>
    <w:rsid w:val="0089224E"/>
    <w:rsid w:val="008A3696"/>
    <w:rsid w:val="008A5926"/>
    <w:rsid w:val="008B055C"/>
    <w:rsid w:val="008B18B4"/>
    <w:rsid w:val="008B39B5"/>
    <w:rsid w:val="008B5730"/>
    <w:rsid w:val="008B6E7F"/>
    <w:rsid w:val="008C06D1"/>
    <w:rsid w:val="008C6992"/>
    <w:rsid w:val="008C7CE9"/>
    <w:rsid w:val="008D5CE4"/>
    <w:rsid w:val="008D5DD4"/>
    <w:rsid w:val="008E267F"/>
    <w:rsid w:val="008E382D"/>
    <w:rsid w:val="008E5E6C"/>
    <w:rsid w:val="008F0B14"/>
    <w:rsid w:val="008F7A0F"/>
    <w:rsid w:val="00900733"/>
    <w:rsid w:val="00900CDD"/>
    <w:rsid w:val="0090345E"/>
    <w:rsid w:val="00903483"/>
    <w:rsid w:val="00905100"/>
    <w:rsid w:val="009107C4"/>
    <w:rsid w:val="009116FC"/>
    <w:rsid w:val="00912A81"/>
    <w:rsid w:val="00914927"/>
    <w:rsid w:val="00916618"/>
    <w:rsid w:val="00922FEB"/>
    <w:rsid w:val="0093106A"/>
    <w:rsid w:val="00933072"/>
    <w:rsid w:val="00937073"/>
    <w:rsid w:val="0093777F"/>
    <w:rsid w:val="0094134A"/>
    <w:rsid w:val="00943DF9"/>
    <w:rsid w:val="00946891"/>
    <w:rsid w:val="00947346"/>
    <w:rsid w:val="00950BE7"/>
    <w:rsid w:val="0095143E"/>
    <w:rsid w:val="00954EFF"/>
    <w:rsid w:val="00956D2D"/>
    <w:rsid w:val="00961CE2"/>
    <w:rsid w:val="009669F8"/>
    <w:rsid w:val="00973DF3"/>
    <w:rsid w:val="009740A1"/>
    <w:rsid w:val="009770D2"/>
    <w:rsid w:val="009837C8"/>
    <w:rsid w:val="00984729"/>
    <w:rsid w:val="00986E09"/>
    <w:rsid w:val="00990A3C"/>
    <w:rsid w:val="00991E9A"/>
    <w:rsid w:val="009930BD"/>
    <w:rsid w:val="0099499F"/>
    <w:rsid w:val="00996667"/>
    <w:rsid w:val="009A05BF"/>
    <w:rsid w:val="009A0775"/>
    <w:rsid w:val="009A20F7"/>
    <w:rsid w:val="009B2315"/>
    <w:rsid w:val="009C4544"/>
    <w:rsid w:val="009C4AB8"/>
    <w:rsid w:val="009C5262"/>
    <w:rsid w:val="009C6155"/>
    <w:rsid w:val="009C71E4"/>
    <w:rsid w:val="009D0B38"/>
    <w:rsid w:val="009D14DE"/>
    <w:rsid w:val="009D26C0"/>
    <w:rsid w:val="009D64A3"/>
    <w:rsid w:val="009E06AE"/>
    <w:rsid w:val="009E08DD"/>
    <w:rsid w:val="009E0C89"/>
    <w:rsid w:val="009E29DA"/>
    <w:rsid w:val="009E4A2F"/>
    <w:rsid w:val="009E6BD3"/>
    <w:rsid w:val="009F0018"/>
    <w:rsid w:val="009F018B"/>
    <w:rsid w:val="009F0E45"/>
    <w:rsid w:val="009F2891"/>
    <w:rsid w:val="009F4771"/>
    <w:rsid w:val="00A106AB"/>
    <w:rsid w:val="00A10ABB"/>
    <w:rsid w:val="00A11922"/>
    <w:rsid w:val="00A12F75"/>
    <w:rsid w:val="00A22CD6"/>
    <w:rsid w:val="00A231BF"/>
    <w:rsid w:val="00A235BE"/>
    <w:rsid w:val="00A23CE3"/>
    <w:rsid w:val="00A25B73"/>
    <w:rsid w:val="00A25D4A"/>
    <w:rsid w:val="00A26FC2"/>
    <w:rsid w:val="00A34557"/>
    <w:rsid w:val="00A345DE"/>
    <w:rsid w:val="00A40F57"/>
    <w:rsid w:val="00A43694"/>
    <w:rsid w:val="00A43EA9"/>
    <w:rsid w:val="00A45944"/>
    <w:rsid w:val="00A57D3C"/>
    <w:rsid w:val="00A61AEB"/>
    <w:rsid w:val="00A625F8"/>
    <w:rsid w:val="00A64D34"/>
    <w:rsid w:val="00A7637A"/>
    <w:rsid w:val="00A7784E"/>
    <w:rsid w:val="00A8172F"/>
    <w:rsid w:val="00A835CB"/>
    <w:rsid w:val="00A84098"/>
    <w:rsid w:val="00A8449D"/>
    <w:rsid w:val="00A9181F"/>
    <w:rsid w:val="00A93747"/>
    <w:rsid w:val="00A96A0F"/>
    <w:rsid w:val="00A96B7A"/>
    <w:rsid w:val="00A96FAA"/>
    <w:rsid w:val="00A97512"/>
    <w:rsid w:val="00AA1B31"/>
    <w:rsid w:val="00AA2A3A"/>
    <w:rsid w:val="00AA68CF"/>
    <w:rsid w:val="00AB0BE6"/>
    <w:rsid w:val="00AB296B"/>
    <w:rsid w:val="00AB4788"/>
    <w:rsid w:val="00AB6BA4"/>
    <w:rsid w:val="00AC3A97"/>
    <w:rsid w:val="00AC3DAE"/>
    <w:rsid w:val="00AC4CF3"/>
    <w:rsid w:val="00AC5123"/>
    <w:rsid w:val="00AC59BE"/>
    <w:rsid w:val="00AD0ED0"/>
    <w:rsid w:val="00AD0F34"/>
    <w:rsid w:val="00AD5C20"/>
    <w:rsid w:val="00AD6055"/>
    <w:rsid w:val="00AD61E7"/>
    <w:rsid w:val="00AD7342"/>
    <w:rsid w:val="00AD7C53"/>
    <w:rsid w:val="00AE3E8F"/>
    <w:rsid w:val="00AE5216"/>
    <w:rsid w:val="00AF0520"/>
    <w:rsid w:val="00AF1AA4"/>
    <w:rsid w:val="00AF1DCF"/>
    <w:rsid w:val="00AF2598"/>
    <w:rsid w:val="00AF3271"/>
    <w:rsid w:val="00AF6E05"/>
    <w:rsid w:val="00AF7139"/>
    <w:rsid w:val="00B02FF5"/>
    <w:rsid w:val="00B03A2F"/>
    <w:rsid w:val="00B058FC"/>
    <w:rsid w:val="00B114DB"/>
    <w:rsid w:val="00B13469"/>
    <w:rsid w:val="00B15547"/>
    <w:rsid w:val="00B1652A"/>
    <w:rsid w:val="00B167C6"/>
    <w:rsid w:val="00B16F37"/>
    <w:rsid w:val="00B17414"/>
    <w:rsid w:val="00B21860"/>
    <w:rsid w:val="00B25191"/>
    <w:rsid w:val="00B255FB"/>
    <w:rsid w:val="00B259CE"/>
    <w:rsid w:val="00B306D3"/>
    <w:rsid w:val="00B353DE"/>
    <w:rsid w:val="00B37AA1"/>
    <w:rsid w:val="00B46145"/>
    <w:rsid w:val="00B503DF"/>
    <w:rsid w:val="00B5370F"/>
    <w:rsid w:val="00B53AE7"/>
    <w:rsid w:val="00B63161"/>
    <w:rsid w:val="00B6607B"/>
    <w:rsid w:val="00B6709E"/>
    <w:rsid w:val="00B70DBE"/>
    <w:rsid w:val="00B72C75"/>
    <w:rsid w:val="00B76DBB"/>
    <w:rsid w:val="00B84C5E"/>
    <w:rsid w:val="00B909DA"/>
    <w:rsid w:val="00B9571F"/>
    <w:rsid w:val="00B96DD0"/>
    <w:rsid w:val="00BA5747"/>
    <w:rsid w:val="00BA7CDB"/>
    <w:rsid w:val="00BA7D26"/>
    <w:rsid w:val="00BB2ED5"/>
    <w:rsid w:val="00BB6DD9"/>
    <w:rsid w:val="00BC3517"/>
    <w:rsid w:val="00BC360D"/>
    <w:rsid w:val="00BC4268"/>
    <w:rsid w:val="00BC5DCD"/>
    <w:rsid w:val="00BD1B8F"/>
    <w:rsid w:val="00BD3625"/>
    <w:rsid w:val="00BD7236"/>
    <w:rsid w:val="00BE2ADC"/>
    <w:rsid w:val="00BE44C9"/>
    <w:rsid w:val="00BE6AC7"/>
    <w:rsid w:val="00BE7055"/>
    <w:rsid w:val="00BF173E"/>
    <w:rsid w:val="00BF18F7"/>
    <w:rsid w:val="00BF5500"/>
    <w:rsid w:val="00BF76F8"/>
    <w:rsid w:val="00C0015B"/>
    <w:rsid w:val="00C04EE6"/>
    <w:rsid w:val="00C04FDF"/>
    <w:rsid w:val="00C0516B"/>
    <w:rsid w:val="00C11ACA"/>
    <w:rsid w:val="00C155F2"/>
    <w:rsid w:val="00C23FE6"/>
    <w:rsid w:val="00C32352"/>
    <w:rsid w:val="00C327BA"/>
    <w:rsid w:val="00C34A80"/>
    <w:rsid w:val="00C355B7"/>
    <w:rsid w:val="00C378C4"/>
    <w:rsid w:val="00C428C9"/>
    <w:rsid w:val="00C45CE8"/>
    <w:rsid w:val="00C46499"/>
    <w:rsid w:val="00C52639"/>
    <w:rsid w:val="00C52BF2"/>
    <w:rsid w:val="00C54DF6"/>
    <w:rsid w:val="00C569B0"/>
    <w:rsid w:val="00C60A86"/>
    <w:rsid w:val="00C63F93"/>
    <w:rsid w:val="00C64C7A"/>
    <w:rsid w:val="00C66519"/>
    <w:rsid w:val="00C714C9"/>
    <w:rsid w:val="00C7263F"/>
    <w:rsid w:val="00C759C9"/>
    <w:rsid w:val="00C815F0"/>
    <w:rsid w:val="00C82DD3"/>
    <w:rsid w:val="00C85409"/>
    <w:rsid w:val="00C85E90"/>
    <w:rsid w:val="00C86A4A"/>
    <w:rsid w:val="00C90DD5"/>
    <w:rsid w:val="00C913FB"/>
    <w:rsid w:val="00C917BB"/>
    <w:rsid w:val="00C92686"/>
    <w:rsid w:val="00C93E05"/>
    <w:rsid w:val="00C9465F"/>
    <w:rsid w:val="00C947F4"/>
    <w:rsid w:val="00CA00ED"/>
    <w:rsid w:val="00CA04A6"/>
    <w:rsid w:val="00CA069C"/>
    <w:rsid w:val="00CA1C4C"/>
    <w:rsid w:val="00CA76DC"/>
    <w:rsid w:val="00CB0400"/>
    <w:rsid w:val="00CB4834"/>
    <w:rsid w:val="00CB67F6"/>
    <w:rsid w:val="00CB6827"/>
    <w:rsid w:val="00CB7E55"/>
    <w:rsid w:val="00CC0BDE"/>
    <w:rsid w:val="00CC146E"/>
    <w:rsid w:val="00CC583E"/>
    <w:rsid w:val="00CD074A"/>
    <w:rsid w:val="00CD0902"/>
    <w:rsid w:val="00CD260C"/>
    <w:rsid w:val="00CD3FEC"/>
    <w:rsid w:val="00CD42B9"/>
    <w:rsid w:val="00CD6E0B"/>
    <w:rsid w:val="00CE37E5"/>
    <w:rsid w:val="00CE58C1"/>
    <w:rsid w:val="00CE6B7A"/>
    <w:rsid w:val="00CE707E"/>
    <w:rsid w:val="00D00AE0"/>
    <w:rsid w:val="00D026D5"/>
    <w:rsid w:val="00D0274A"/>
    <w:rsid w:val="00D10A05"/>
    <w:rsid w:val="00D1104B"/>
    <w:rsid w:val="00D15D65"/>
    <w:rsid w:val="00D17890"/>
    <w:rsid w:val="00D23DA5"/>
    <w:rsid w:val="00D24852"/>
    <w:rsid w:val="00D27C06"/>
    <w:rsid w:val="00D35B3D"/>
    <w:rsid w:val="00D41BE4"/>
    <w:rsid w:val="00D429B0"/>
    <w:rsid w:val="00D43E43"/>
    <w:rsid w:val="00D44638"/>
    <w:rsid w:val="00D47DA4"/>
    <w:rsid w:val="00D47FB4"/>
    <w:rsid w:val="00D50C6D"/>
    <w:rsid w:val="00D5103B"/>
    <w:rsid w:val="00D5354C"/>
    <w:rsid w:val="00D567C3"/>
    <w:rsid w:val="00D61709"/>
    <w:rsid w:val="00D622C1"/>
    <w:rsid w:val="00D62947"/>
    <w:rsid w:val="00D63898"/>
    <w:rsid w:val="00D64B2B"/>
    <w:rsid w:val="00D6605E"/>
    <w:rsid w:val="00D732B4"/>
    <w:rsid w:val="00D751DD"/>
    <w:rsid w:val="00D759D9"/>
    <w:rsid w:val="00D76C5B"/>
    <w:rsid w:val="00D779F7"/>
    <w:rsid w:val="00D827AD"/>
    <w:rsid w:val="00D82EC3"/>
    <w:rsid w:val="00D838DF"/>
    <w:rsid w:val="00D83F54"/>
    <w:rsid w:val="00D87421"/>
    <w:rsid w:val="00D94863"/>
    <w:rsid w:val="00DA047A"/>
    <w:rsid w:val="00DA2762"/>
    <w:rsid w:val="00DA36BF"/>
    <w:rsid w:val="00DA6234"/>
    <w:rsid w:val="00DB0BB8"/>
    <w:rsid w:val="00DB377A"/>
    <w:rsid w:val="00DB7D40"/>
    <w:rsid w:val="00DC032B"/>
    <w:rsid w:val="00DC1794"/>
    <w:rsid w:val="00DC1EF3"/>
    <w:rsid w:val="00DC43ED"/>
    <w:rsid w:val="00DD0E9B"/>
    <w:rsid w:val="00DD36A7"/>
    <w:rsid w:val="00DD3DA4"/>
    <w:rsid w:val="00DD3DDA"/>
    <w:rsid w:val="00DD48A5"/>
    <w:rsid w:val="00DD54E0"/>
    <w:rsid w:val="00DE0020"/>
    <w:rsid w:val="00DE4307"/>
    <w:rsid w:val="00DE4DCE"/>
    <w:rsid w:val="00DE6956"/>
    <w:rsid w:val="00DF3533"/>
    <w:rsid w:val="00DF42C2"/>
    <w:rsid w:val="00DF520A"/>
    <w:rsid w:val="00DF55CE"/>
    <w:rsid w:val="00E0142F"/>
    <w:rsid w:val="00E0229B"/>
    <w:rsid w:val="00E0351F"/>
    <w:rsid w:val="00E036DD"/>
    <w:rsid w:val="00E04699"/>
    <w:rsid w:val="00E12826"/>
    <w:rsid w:val="00E16BA5"/>
    <w:rsid w:val="00E17299"/>
    <w:rsid w:val="00E172D2"/>
    <w:rsid w:val="00E17D54"/>
    <w:rsid w:val="00E17EDB"/>
    <w:rsid w:val="00E24383"/>
    <w:rsid w:val="00E260AB"/>
    <w:rsid w:val="00E27D40"/>
    <w:rsid w:val="00E316B8"/>
    <w:rsid w:val="00E336AC"/>
    <w:rsid w:val="00E37B3A"/>
    <w:rsid w:val="00E4179D"/>
    <w:rsid w:val="00E43433"/>
    <w:rsid w:val="00E43EC9"/>
    <w:rsid w:val="00E44329"/>
    <w:rsid w:val="00E519B9"/>
    <w:rsid w:val="00E540A1"/>
    <w:rsid w:val="00E55097"/>
    <w:rsid w:val="00E55E51"/>
    <w:rsid w:val="00E571EA"/>
    <w:rsid w:val="00E6089F"/>
    <w:rsid w:val="00E609B5"/>
    <w:rsid w:val="00E60B27"/>
    <w:rsid w:val="00E65DD8"/>
    <w:rsid w:val="00E669C9"/>
    <w:rsid w:val="00E67446"/>
    <w:rsid w:val="00E706E1"/>
    <w:rsid w:val="00E80D7B"/>
    <w:rsid w:val="00E83899"/>
    <w:rsid w:val="00E8462D"/>
    <w:rsid w:val="00E847A2"/>
    <w:rsid w:val="00E87546"/>
    <w:rsid w:val="00E9084B"/>
    <w:rsid w:val="00E95C28"/>
    <w:rsid w:val="00E960C8"/>
    <w:rsid w:val="00E96B23"/>
    <w:rsid w:val="00EA49D6"/>
    <w:rsid w:val="00EA5226"/>
    <w:rsid w:val="00EB212D"/>
    <w:rsid w:val="00EB2C6A"/>
    <w:rsid w:val="00EB64E9"/>
    <w:rsid w:val="00EB7E72"/>
    <w:rsid w:val="00EC3FD8"/>
    <w:rsid w:val="00EC4617"/>
    <w:rsid w:val="00EC4D26"/>
    <w:rsid w:val="00EC5EDE"/>
    <w:rsid w:val="00EC6441"/>
    <w:rsid w:val="00ED0068"/>
    <w:rsid w:val="00ED4F81"/>
    <w:rsid w:val="00EE0155"/>
    <w:rsid w:val="00EE46E6"/>
    <w:rsid w:val="00EE66CC"/>
    <w:rsid w:val="00EF06F3"/>
    <w:rsid w:val="00EF287B"/>
    <w:rsid w:val="00EF4510"/>
    <w:rsid w:val="00EF5C3B"/>
    <w:rsid w:val="00F024B2"/>
    <w:rsid w:val="00F04225"/>
    <w:rsid w:val="00F04D6F"/>
    <w:rsid w:val="00F103E1"/>
    <w:rsid w:val="00F11DDC"/>
    <w:rsid w:val="00F1494A"/>
    <w:rsid w:val="00F20FBB"/>
    <w:rsid w:val="00F24589"/>
    <w:rsid w:val="00F248C7"/>
    <w:rsid w:val="00F25125"/>
    <w:rsid w:val="00F320F0"/>
    <w:rsid w:val="00F33B15"/>
    <w:rsid w:val="00F4007B"/>
    <w:rsid w:val="00F45D2D"/>
    <w:rsid w:val="00F52149"/>
    <w:rsid w:val="00F52F64"/>
    <w:rsid w:val="00F56840"/>
    <w:rsid w:val="00F60585"/>
    <w:rsid w:val="00F714DD"/>
    <w:rsid w:val="00F72A00"/>
    <w:rsid w:val="00F74957"/>
    <w:rsid w:val="00F763F5"/>
    <w:rsid w:val="00F82F30"/>
    <w:rsid w:val="00F83FEC"/>
    <w:rsid w:val="00F85F25"/>
    <w:rsid w:val="00F91685"/>
    <w:rsid w:val="00F9184B"/>
    <w:rsid w:val="00F9523D"/>
    <w:rsid w:val="00FA34C6"/>
    <w:rsid w:val="00FA7216"/>
    <w:rsid w:val="00FB1F82"/>
    <w:rsid w:val="00FB42CE"/>
    <w:rsid w:val="00FB71AF"/>
    <w:rsid w:val="00FB7673"/>
    <w:rsid w:val="00FC0B94"/>
    <w:rsid w:val="00FC2BF7"/>
    <w:rsid w:val="00FC5AE0"/>
    <w:rsid w:val="00FC5D1C"/>
    <w:rsid w:val="00FC5DB9"/>
    <w:rsid w:val="00FC6541"/>
    <w:rsid w:val="00FC68D3"/>
    <w:rsid w:val="00FD4A8D"/>
    <w:rsid w:val="00FD6B7D"/>
    <w:rsid w:val="00FD7583"/>
    <w:rsid w:val="00FE067A"/>
    <w:rsid w:val="00FE09EE"/>
    <w:rsid w:val="00FE4A52"/>
    <w:rsid w:val="00FE6EDB"/>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docId w15:val="{D6E3C92E-251C-47E3-94E0-8D986B3A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q-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22FEB"/>
    <w:rPr>
      <w:kern w:val="0"/>
      <w:sz w:val="20"/>
      <w:szCs w:val="20"/>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22FE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25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726">
      <w:bodyDiv w:val="1"/>
      <w:marLeft w:val="0"/>
      <w:marRight w:val="0"/>
      <w:marTop w:val="0"/>
      <w:marBottom w:val="0"/>
      <w:divBdr>
        <w:top w:val="none" w:sz="0" w:space="0" w:color="auto"/>
        <w:left w:val="none" w:sz="0" w:space="0" w:color="auto"/>
        <w:bottom w:val="none" w:sz="0" w:space="0" w:color="auto"/>
        <w:right w:val="none" w:sz="0" w:space="0" w:color="auto"/>
      </w:divBdr>
    </w:div>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70464752">
      <w:bodyDiv w:val="1"/>
      <w:marLeft w:val="0"/>
      <w:marRight w:val="0"/>
      <w:marTop w:val="0"/>
      <w:marBottom w:val="0"/>
      <w:divBdr>
        <w:top w:val="none" w:sz="0" w:space="0" w:color="auto"/>
        <w:left w:val="none" w:sz="0" w:space="0" w:color="auto"/>
        <w:bottom w:val="none" w:sz="0" w:space="0" w:color="auto"/>
        <w:right w:val="none" w:sz="0" w:space="0" w:color="auto"/>
      </w:divBdr>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2012678">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329646590">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6043730">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0629444">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31668483">
      <w:bodyDiv w:val="1"/>
      <w:marLeft w:val="0"/>
      <w:marRight w:val="0"/>
      <w:marTop w:val="0"/>
      <w:marBottom w:val="0"/>
      <w:divBdr>
        <w:top w:val="none" w:sz="0" w:space="0" w:color="auto"/>
        <w:left w:val="none" w:sz="0" w:space="0" w:color="auto"/>
        <w:bottom w:val="none" w:sz="0" w:space="0" w:color="auto"/>
        <w:right w:val="none" w:sz="0" w:space="0" w:color="auto"/>
      </w:divBdr>
    </w:div>
    <w:div w:id="934897949">
      <w:bodyDiv w:val="1"/>
      <w:marLeft w:val="0"/>
      <w:marRight w:val="0"/>
      <w:marTop w:val="0"/>
      <w:marBottom w:val="0"/>
      <w:divBdr>
        <w:top w:val="none" w:sz="0" w:space="0" w:color="auto"/>
        <w:left w:val="none" w:sz="0" w:space="0" w:color="auto"/>
        <w:bottom w:val="none" w:sz="0" w:space="0" w:color="auto"/>
        <w:right w:val="none" w:sz="0" w:space="0" w:color="auto"/>
      </w:divBdr>
    </w:div>
    <w:div w:id="99295526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62675586">
      <w:bodyDiv w:val="1"/>
      <w:marLeft w:val="0"/>
      <w:marRight w:val="0"/>
      <w:marTop w:val="0"/>
      <w:marBottom w:val="0"/>
      <w:divBdr>
        <w:top w:val="none" w:sz="0" w:space="0" w:color="auto"/>
        <w:left w:val="none" w:sz="0" w:space="0" w:color="auto"/>
        <w:bottom w:val="none" w:sz="0" w:space="0" w:color="auto"/>
        <w:right w:val="none" w:sz="0" w:space="0" w:color="auto"/>
      </w:divBdr>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1702398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02748485">
      <w:bodyDiv w:val="1"/>
      <w:marLeft w:val="0"/>
      <w:marRight w:val="0"/>
      <w:marTop w:val="0"/>
      <w:marBottom w:val="0"/>
      <w:divBdr>
        <w:top w:val="none" w:sz="0" w:space="0" w:color="auto"/>
        <w:left w:val="none" w:sz="0" w:space="0" w:color="auto"/>
        <w:bottom w:val="none" w:sz="0" w:space="0" w:color="auto"/>
        <w:right w:val="none" w:sz="0" w:space="0" w:color="auto"/>
      </w:divBdr>
    </w:div>
    <w:div w:id="12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108238942">
          <w:marLeft w:val="0"/>
          <w:marRight w:val="0"/>
          <w:marTop w:val="0"/>
          <w:marBottom w:val="0"/>
          <w:divBdr>
            <w:top w:val="none" w:sz="0" w:space="0" w:color="auto"/>
            <w:left w:val="none" w:sz="0" w:space="0" w:color="auto"/>
            <w:bottom w:val="none" w:sz="0" w:space="0" w:color="auto"/>
            <w:right w:val="none" w:sz="0" w:space="0" w:color="auto"/>
          </w:divBdr>
        </w:div>
      </w:divsChild>
    </w:div>
    <w:div w:id="1206675337">
      <w:bodyDiv w:val="1"/>
      <w:marLeft w:val="0"/>
      <w:marRight w:val="0"/>
      <w:marTop w:val="0"/>
      <w:marBottom w:val="0"/>
      <w:divBdr>
        <w:top w:val="none" w:sz="0" w:space="0" w:color="auto"/>
        <w:left w:val="none" w:sz="0" w:space="0" w:color="auto"/>
        <w:bottom w:val="none" w:sz="0" w:space="0" w:color="auto"/>
        <w:right w:val="none" w:sz="0" w:space="0" w:color="auto"/>
      </w:divBdr>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17688136">
      <w:bodyDiv w:val="1"/>
      <w:marLeft w:val="0"/>
      <w:marRight w:val="0"/>
      <w:marTop w:val="0"/>
      <w:marBottom w:val="0"/>
      <w:divBdr>
        <w:top w:val="none" w:sz="0" w:space="0" w:color="auto"/>
        <w:left w:val="none" w:sz="0" w:space="0" w:color="auto"/>
        <w:bottom w:val="none" w:sz="0" w:space="0" w:color="auto"/>
        <w:right w:val="none" w:sz="0" w:space="0" w:color="auto"/>
      </w:divBdr>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62778122">
      <w:bodyDiv w:val="1"/>
      <w:marLeft w:val="0"/>
      <w:marRight w:val="0"/>
      <w:marTop w:val="0"/>
      <w:marBottom w:val="0"/>
      <w:divBdr>
        <w:top w:val="none" w:sz="0" w:space="0" w:color="auto"/>
        <w:left w:val="none" w:sz="0" w:space="0" w:color="auto"/>
        <w:bottom w:val="none" w:sz="0" w:space="0" w:color="auto"/>
        <w:right w:val="none" w:sz="0" w:space="0" w:color="auto"/>
      </w:divBdr>
    </w:div>
    <w:div w:id="1404063093">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38598790">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3691541">
      <w:bodyDiv w:val="1"/>
      <w:marLeft w:val="0"/>
      <w:marRight w:val="0"/>
      <w:marTop w:val="0"/>
      <w:marBottom w:val="0"/>
      <w:divBdr>
        <w:top w:val="none" w:sz="0" w:space="0" w:color="auto"/>
        <w:left w:val="none" w:sz="0" w:space="0" w:color="auto"/>
        <w:bottom w:val="none" w:sz="0" w:space="0" w:color="auto"/>
        <w:right w:val="none" w:sz="0" w:space="0" w:color="auto"/>
      </w:divBdr>
      <w:divsChild>
        <w:div w:id="1504469557">
          <w:marLeft w:val="0"/>
          <w:marRight w:val="0"/>
          <w:marTop w:val="0"/>
          <w:marBottom w:val="0"/>
          <w:divBdr>
            <w:top w:val="none" w:sz="0" w:space="0" w:color="auto"/>
            <w:left w:val="none" w:sz="0" w:space="0" w:color="auto"/>
            <w:bottom w:val="none" w:sz="0" w:space="0" w:color="auto"/>
            <w:right w:val="none" w:sz="0" w:space="0" w:color="auto"/>
          </w:divBdr>
        </w:div>
        <w:div w:id="674066632">
          <w:marLeft w:val="0"/>
          <w:marRight w:val="0"/>
          <w:marTop w:val="0"/>
          <w:marBottom w:val="0"/>
          <w:divBdr>
            <w:top w:val="none" w:sz="0" w:space="0" w:color="auto"/>
            <w:left w:val="none" w:sz="0" w:space="0" w:color="auto"/>
            <w:bottom w:val="none" w:sz="0" w:space="0" w:color="auto"/>
            <w:right w:val="none" w:sz="0" w:space="0" w:color="auto"/>
          </w:divBdr>
        </w:div>
        <w:div w:id="1325089639">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01259850">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57491284">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63987073">
      <w:bodyDiv w:val="1"/>
      <w:marLeft w:val="0"/>
      <w:marRight w:val="0"/>
      <w:marTop w:val="0"/>
      <w:marBottom w:val="0"/>
      <w:divBdr>
        <w:top w:val="none" w:sz="0" w:space="0" w:color="auto"/>
        <w:left w:val="none" w:sz="0" w:space="0" w:color="auto"/>
        <w:bottom w:val="none" w:sz="0" w:space="0" w:color="auto"/>
        <w:right w:val="none" w:sz="0" w:space="0" w:color="auto"/>
      </w:divBdr>
    </w:div>
    <w:div w:id="1772357349">
      <w:bodyDiv w:val="1"/>
      <w:marLeft w:val="0"/>
      <w:marRight w:val="0"/>
      <w:marTop w:val="0"/>
      <w:marBottom w:val="0"/>
      <w:divBdr>
        <w:top w:val="none" w:sz="0" w:space="0" w:color="auto"/>
        <w:left w:val="none" w:sz="0" w:space="0" w:color="auto"/>
        <w:bottom w:val="none" w:sz="0" w:space="0" w:color="auto"/>
        <w:right w:val="none" w:sz="0" w:space="0" w:color="auto"/>
      </w:divBdr>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1958172853">
      <w:bodyDiv w:val="1"/>
      <w:marLeft w:val="0"/>
      <w:marRight w:val="0"/>
      <w:marTop w:val="0"/>
      <w:marBottom w:val="0"/>
      <w:divBdr>
        <w:top w:val="none" w:sz="0" w:space="0" w:color="auto"/>
        <w:left w:val="none" w:sz="0" w:space="0" w:color="auto"/>
        <w:bottom w:val="none" w:sz="0" w:space="0" w:color="auto"/>
        <w:right w:val="none" w:sz="0" w:space="0" w:color="auto"/>
      </w:divBdr>
    </w:div>
    <w:div w:id="2044594590">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21680670">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 w:id="21431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Props1.xml><?xml version="1.0" encoding="utf-8"?>
<ds:datastoreItem xmlns:ds="http://schemas.openxmlformats.org/officeDocument/2006/customXml" ds:itemID="{05B83F9E-38F7-44FF-A403-FB596E390CC4}">
  <ds:schemaRefs>
    <ds:schemaRef ds:uri="http://schemas.openxmlformats.org/officeDocument/2006/bibliography"/>
  </ds:schemaRefs>
</ds:datastoreItem>
</file>

<file path=customXml/itemProps2.xml><?xml version="1.0" encoding="utf-8"?>
<ds:datastoreItem xmlns:ds="http://schemas.openxmlformats.org/officeDocument/2006/customXml" ds:itemID="{B2FEED44-A682-48E6-BA7F-4C2132162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A9D05-736E-4640-A230-B82B493A710C}">
  <ds:schemaRefs>
    <ds:schemaRef ds:uri="http://schemas.microsoft.com/sharepoint/v3/contenttype/forms"/>
  </ds:schemaRefs>
</ds:datastoreItem>
</file>

<file path=customXml/itemProps4.xml><?xml version="1.0" encoding="utf-8"?>
<ds:datastoreItem xmlns:ds="http://schemas.openxmlformats.org/officeDocument/2006/customXml" ds:itemID="{54CC7308-B6BD-4BBA-8377-DE70EF76F367}">
  <ds:schemaRefs>
    <ds:schemaRef ds:uri="http://schemas.microsoft.com/office/2006/metadata/properties"/>
    <ds:schemaRef ds:uri="http://schemas.microsoft.com/office/infopath/2007/PartnerControls"/>
    <ds:schemaRef ds:uri="240d9007-a1fb-482a-96da-a02b62c04690"/>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17</Pages>
  <Words>5728</Words>
  <Characters>32651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38303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12</cp:revision>
  <cp:lastPrinted>2025-12-13T13:46:00Z</cp:lastPrinted>
  <dcterms:created xsi:type="dcterms:W3CDTF">2026-05-22T15:39:00Z</dcterms:created>
  <dcterms:modified xsi:type="dcterms:W3CDTF">2026-06-19T12:19:00Z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y fmtid="{D5CDD505-2E9C-101B-9397-08002B2CF9AE}" pid="3" name="GrammarlyDocumentId">
    <vt:lpwstr>139b5a33-4d03-46d1-a846-b4bebc432953</vt:lpwstr>
  </property>
</Properties>
</file>